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3647D8" w:rsidP="00442CB5">
      <w:pPr>
        <w:spacing w:line="240" w:lineRule="auto"/>
        <w:rPr>
          <w:b/>
        </w:rPr>
      </w:pPr>
      <w:r>
        <w:rPr>
          <w:b/>
        </w:rPr>
        <w:t>No alla riforma Previdenza per la vecchiaia 2020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3647D8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Via libera per una vera riforma</w:t>
      </w:r>
    </w:p>
    <w:p w:rsidR="00344164" w:rsidRDefault="00344164" w:rsidP="00344164">
      <w:pPr>
        <w:spacing w:line="240" w:lineRule="auto"/>
      </w:pPr>
    </w:p>
    <w:p w:rsidR="00344164" w:rsidRDefault="00344164" w:rsidP="00344164">
      <w:pPr>
        <w:spacing w:line="240" w:lineRule="auto"/>
        <w:rPr>
          <w:b/>
        </w:rPr>
      </w:pP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>Berna, 24 settembre 2017</w:t>
      </w:r>
      <w:r>
        <w:rPr>
          <w:b/>
          <w:sz w:val="19"/>
          <w:szCs w:val="19"/>
        </w:rPr>
        <w:t xml:space="preserve"> – L’Unione professionale svizzera dell’automobile (UPSA) prende atto con sollievo del fatto che il popolo svizzero ha votato NO alla riforma Previdenza per la vecchiaia 2020. Le cittadine e i cittadini aventi diritto di voto hanno detto NO a una riforma fittizia con un’eccessiva dispersione dei fondi.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344164" w:rsidRDefault="003647D8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L’UPSA si era battuta contro la proposta insieme all’Unione svizzera delle arti e mestieri. La riforma Previdenza per la vecchiaia 2020 conteneva elementi che erano stati accolti con favore dai garagisti svizzeri, come ad es. l’innalzamento graduale da 64 a 65 anni dell’età di pensionamento delle donne o la riduzione graduale dell’aliquota minima di conversione nella previdenza professionale. Tuttavia, come afferma il presidente centrale dell’UPSA Urs Wernli, «se il progetto fosse stato accettato, per le autofficine e i loro collaboratori, esposti alla pressione estremamente alta dei margini e della concorrenza, i tempi sarebbero stati molto bui». La riforma avrebbe creato un mostro burocratico e reso il sistema ancora meno trasparente per gli assicurati. L’onere amministrativo sarebbe nuovamente aumentato proprio per le piccole e medie imprese del settore svizzero dell’automobile .</w:t>
      </w:r>
    </w:p>
    <w:p w:rsidR="00C00ED6" w:rsidRDefault="00C00ED6" w:rsidP="00344164">
      <w:pPr>
        <w:spacing w:line="240" w:lineRule="auto"/>
        <w:rPr>
          <w:sz w:val="19"/>
          <w:szCs w:val="19"/>
        </w:rPr>
      </w:pPr>
    </w:p>
    <w:p w:rsidR="00C00ED6" w:rsidRPr="00344164" w:rsidRDefault="00C00ED6" w:rsidP="00344164">
      <w:pPr>
        <w:spacing w:line="240" w:lineRule="auto"/>
      </w:pPr>
      <w:r>
        <w:rPr>
          <w:sz w:val="19"/>
          <w:szCs w:val="19"/>
        </w:rPr>
        <w:t>Il chiaro NO espresso dal popolo sovrano appiana la strada verso una vera riforma che sia in grado di garantire in modo sostenibile la previdenza per la vecchiaia. È stata così messa al bando una riforma basata su un’eccessiva dispersione dei fondi. I garagisti svizzeri si aspettano adesso che il Consiglio federale si occupi rapidamente delle questioni centrali e praticamente incontestate della riforma previdenziale: l’adeguamento dell’età di pensionamento per le donne, un moderato finanziamento supplementare dell’AVS e una riduzione dell’aliquota minima di conversione con una compensazione socialmente sostenibile.</w:t>
      </w:r>
    </w:p>
    <w:p w:rsidR="00344164" w:rsidRDefault="00344164" w:rsidP="00344164">
      <w:pPr>
        <w:spacing w:line="240" w:lineRule="auto"/>
      </w:pPr>
    </w:p>
    <w:p w:rsidR="00DF4EF5" w:rsidRDefault="00DF4EF5" w:rsidP="00344164">
      <w:pPr>
        <w:spacing w:line="240" w:lineRule="auto"/>
      </w:pPr>
    </w:p>
    <w:p w:rsidR="00344164" w:rsidRPr="005F0781" w:rsidRDefault="00344164" w:rsidP="00344164">
      <w:pPr>
        <w:pStyle w:val="fuerFragenkursiv"/>
        <w:spacing w:line="240" w:lineRule="auto"/>
        <w:rPr>
          <w:sz w:val="18"/>
        </w:rPr>
      </w:pPr>
      <w:r>
        <w:t xml:space="preserve">Per </w:t>
      </w:r>
      <w:r>
        <w:rPr>
          <w:b/>
          <w:sz w:val="18"/>
        </w:rPr>
        <w:t>maggiori informazioni</w:t>
      </w:r>
      <w:r>
        <w:rPr>
          <w:sz w:val="18"/>
        </w:rPr>
        <w:t xml:space="preserve"> rivolgersi a Urs Wernli, presidente centrale dell’UPSA, cellulare 079 222 14 58, e-mail </w:t>
      </w:r>
      <w:hyperlink r:id="rId6" w:history="1">
        <w:r>
          <w:rPr>
            <w:rStyle w:val="Hyperlink"/>
            <w:color w:val="auto"/>
            <w:sz w:val="18"/>
            <w:u w:val="none"/>
          </w:rPr>
          <w:t>urs.wernli@agvs-upsa.ch</w:t>
        </w:r>
      </w:hyperlink>
      <w:r>
        <w:rPr>
          <w:sz w:val="18"/>
        </w:rPr>
        <w:t xml:space="preserve">. </w:t>
      </w:r>
      <w:r>
        <w:rPr>
          <w:b/>
          <w:sz w:val="18"/>
        </w:rPr>
        <w:t>Coordinamento:</w:t>
      </w:r>
      <w:r>
        <w:rPr>
          <w:sz w:val="18"/>
        </w:rPr>
        <w:t xml:space="preserve"> Monique Baldinger, cellulare 079 673 10 48, e-mail </w:t>
      </w:r>
      <w:hyperlink r:id="rId7" w:history="1">
        <w:r>
          <w:rPr>
            <w:rStyle w:val="Hyperlink"/>
            <w:color w:val="auto"/>
            <w:sz w:val="18"/>
            <w:u w:val="none"/>
          </w:rPr>
          <w:t>monique.baldinger@agvs-upsa.ch</w:t>
        </w:r>
      </w:hyperlink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1" w:name="OLE_LINK1"/>
      <w:bookmarkStart w:id="2" w:name="OLE_LINK2"/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L’Unione professionale svizzera dell’automobile (UPSA)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Fondata nel 1927, l’UPSA si pone come associazione di categoria e professionale dei garagisti svizzeri dinamica e orientata al futuro. Circa 4000 piccole, medie e grandi imprese, concessionarie e aziende indipendenti sono iscritte all’UPSA. I 39 000 dipendenti che lavorano nelle aziende iscritte all’UPSA – tra cui circa 8500 persone in formazione e formazione continua – si occupano della vendita, della manutenzione e della riparazione della maggior parte del parco circolante svizzero, che conta circa 6 milioni di veicoli.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1"/>
    <w:bookmarkEnd w:id="2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Testo </w:t>
      </w:r>
      <w:bookmarkStart w:id="3" w:name="_GoBack"/>
      <w:bookmarkEnd w:id="3"/>
      <w:r>
        <w:rPr>
          <w:b/>
          <w:bCs/>
          <w:sz w:val="18"/>
          <w:szCs w:val="22"/>
        </w:rPr>
        <w:t xml:space="preserve">possono essere scaricati sul sito </w:t>
      </w:r>
      <w:hyperlink r:id="rId8" w:history="1">
        <w:r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>
        <w:rPr>
          <w:b/>
          <w:bCs/>
          <w:sz w:val="18"/>
          <w:szCs w:val="22"/>
        </w:rPr>
        <w:t xml:space="preserve"> nella rubrica «Comunicati stampa» (in basso)</w:t>
      </w:r>
    </w:p>
    <w:sectPr w:rsidR="00344164" w:rsidRPr="00355485" w:rsidSect="003B03A0">
      <w:footerReference w:type="default" r:id="rId9"/>
      <w:footerReference w:type="first" r:id="rId10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89" w:rsidRDefault="00FC7789">
      <w:r>
        <w:separator/>
      </w:r>
    </w:p>
  </w:endnote>
  <w:endnote w:type="continuationSeparator" w:id="0">
    <w:p w:rsidR="00FC7789" w:rsidRDefault="00FC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E71C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  <w:lang w:val="de-CH"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  <w:lang w:val="de-CH"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  <w:lang w:val="de-CH"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89" w:rsidRDefault="00FC7789">
      <w:r>
        <w:separator/>
      </w:r>
    </w:p>
  </w:footnote>
  <w:footnote w:type="continuationSeparator" w:id="0">
    <w:p w:rsidR="00FC7789" w:rsidRDefault="00FC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76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07D8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D7D76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2F528B"/>
    <w:rsid w:val="00304696"/>
    <w:rsid w:val="00306831"/>
    <w:rsid w:val="003246D7"/>
    <w:rsid w:val="00327656"/>
    <w:rsid w:val="00344164"/>
    <w:rsid w:val="003502C9"/>
    <w:rsid w:val="003515E9"/>
    <w:rsid w:val="00355485"/>
    <w:rsid w:val="003647D8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93EF1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D77F8"/>
    <w:rsid w:val="007F243D"/>
    <w:rsid w:val="007F3F9B"/>
    <w:rsid w:val="008004DF"/>
    <w:rsid w:val="0080538A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164AB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0ED6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62F2"/>
    <w:rsid w:val="00CC725D"/>
    <w:rsid w:val="00CD760F"/>
    <w:rsid w:val="00CF2FBA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DF4EF5"/>
    <w:rsid w:val="00E02830"/>
    <w:rsid w:val="00E0347E"/>
    <w:rsid w:val="00E20513"/>
    <w:rsid w:val="00E56E47"/>
    <w:rsid w:val="00E745B5"/>
    <w:rsid w:val="00EB5ED7"/>
    <w:rsid w:val="00EB64E3"/>
    <w:rsid w:val="00EB6EAE"/>
    <w:rsid w:val="00EC0FA0"/>
    <w:rsid w:val="00EC47D3"/>
    <w:rsid w:val="00EC6313"/>
    <w:rsid w:val="00ED138B"/>
    <w:rsid w:val="00EE11B2"/>
    <w:rsid w:val="00EE351F"/>
    <w:rsid w:val="00EE71C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C7789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67ABA828-4297-4536-9F7B-6DE8CCB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1734124F.dotm</Template>
  <TotalTime>0</TotalTime>
  <Pages>1</Pages>
  <Words>406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Sascha Rhyner</dc:creator>
  <cp:keywords/>
  <dc:description/>
  <cp:lastModifiedBy>Monique Baldinger</cp:lastModifiedBy>
  <cp:revision>5</cp:revision>
  <cp:lastPrinted>2017-06-07T07:27:00Z</cp:lastPrinted>
  <dcterms:created xsi:type="dcterms:W3CDTF">2017-09-12T06:15:00Z</dcterms:created>
  <dcterms:modified xsi:type="dcterms:W3CDTF">2017-09-24T13:53:00Z</dcterms:modified>
</cp:coreProperties>
</file>