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8A" w:rsidRPr="00743A83" w:rsidRDefault="0021468A" w:rsidP="00547BE9">
      <w:pPr>
        <w:pStyle w:val="etgSubject"/>
        <w:spacing w:line="320" w:lineRule="atLeast"/>
        <w:rPr>
          <w:color w:val="auto"/>
          <w:sz w:val="24"/>
          <w:szCs w:val="24"/>
          <w:lang w:val="de-CH"/>
        </w:rPr>
      </w:pPr>
      <w:r w:rsidRPr="00743A83">
        <w:rPr>
          <w:color w:val="auto"/>
          <w:sz w:val="24"/>
          <w:szCs w:val="24"/>
          <w:lang w:val="de-CH"/>
        </w:rPr>
        <w:t>PRESSEMITTEILUNG</w:t>
      </w:r>
    </w:p>
    <w:p w:rsidR="0021468A" w:rsidRPr="00743A83" w:rsidRDefault="0021468A" w:rsidP="0021468A">
      <w:pPr>
        <w:rPr>
          <w:rFonts w:ascii="Arial" w:hAnsi="Arial" w:cs="Arial"/>
          <w:lang w:val="de-CH"/>
        </w:rPr>
      </w:pPr>
    </w:p>
    <w:tbl>
      <w:tblPr>
        <w:tblW w:w="941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340"/>
        <w:gridCol w:w="851"/>
        <w:gridCol w:w="3073"/>
      </w:tblGrid>
      <w:tr w:rsidR="0021468A" w:rsidRPr="00743A83" w:rsidTr="00BC3D3C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21468A" w:rsidP="00BC3D3C">
            <w:pPr>
              <w:pStyle w:val="etgFaxHeaderC1"/>
              <w:spacing w:line="220" w:lineRule="atLeast"/>
              <w:rPr>
                <w:color w:val="auto"/>
                <w:highlight w:val="yellow"/>
              </w:rPr>
            </w:pPr>
            <w:r w:rsidRPr="00743A83">
              <w:rPr>
                <w:color w:val="auto"/>
              </w:rPr>
              <w:t>Datum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0C45D8" w:rsidRDefault="000C45D8" w:rsidP="00D71D60">
            <w:pPr>
              <w:rPr>
                <w:rFonts w:ascii="Arial" w:hAnsi="Arial" w:cs="Arial"/>
                <w:lang w:val="de-CH"/>
              </w:rPr>
            </w:pPr>
            <w:r w:rsidRPr="000C45D8">
              <w:rPr>
                <w:rFonts w:ascii="Arial" w:hAnsi="Arial" w:cs="Arial"/>
                <w:lang w:val="de-CH"/>
              </w:rPr>
              <w:t>21</w:t>
            </w:r>
            <w:r w:rsidR="0021468A" w:rsidRPr="000C45D8">
              <w:rPr>
                <w:rFonts w:ascii="Arial" w:hAnsi="Arial" w:cs="Arial"/>
                <w:lang w:val="de-CH"/>
              </w:rPr>
              <w:t>.</w:t>
            </w:r>
            <w:r w:rsidR="0021468A" w:rsidRPr="000C45D8">
              <w:rPr>
                <w:rStyle w:val="etgHeaderContdSubject"/>
                <w:lang w:val="de-CH"/>
              </w:rPr>
              <w:t> </w:t>
            </w:r>
            <w:r w:rsidR="00F53718" w:rsidRPr="000C45D8">
              <w:rPr>
                <w:rFonts w:ascii="Arial" w:hAnsi="Arial" w:cs="Arial"/>
                <w:lang w:val="de-CH"/>
              </w:rPr>
              <w:t>Juli</w:t>
            </w:r>
            <w:r w:rsidR="0021468A" w:rsidRPr="000C45D8">
              <w:rPr>
                <w:rFonts w:ascii="Arial" w:hAnsi="Arial" w:cs="Arial"/>
                <w:lang w:val="de-CH"/>
              </w:rPr>
              <w:t xml:space="preserve"> 201</w:t>
            </w:r>
            <w:r w:rsidR="00C26C24" w:rsidRPr="000C45D8">
              <w:rPr>
                <w:rFonts w:ascii="Arial" w:hAnsi="Arial" w:cs="Arial"/>
                <w:lang w:val="de-CH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21468A" w:rsidP="00BC3D3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21468A" w:rsidP="00BC3D3C">
            <w:pPr>
              <w:pStyle w:val="etgFaxHeaderC3"/>
              <w:spacing w:line="220" w:lineRule="atLeast"/>
              <w:rPr>
                <w:color w:val="auto"/>
              </w:rPr>
            </w:pPr>
            <w:r w:rsidRPr="00743A83">
              <w:rPr>
                <w:color w:val="auto"/>
              </w:rPr>
              <w:t>Seitenzahl gesamt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7D37A7" w:rsidP="00BC3D3C">
            <w:pPr>
              <w:rPr>
                <w:rFonts w:ascii="Arial" w:hAnsi="Arial" w:cs="Arial"/>
                <w:lang w:val="de-CH"/>
              </w:rPr>
            </w:pPr>
            <w:r w:rsidRPr="00743A83">
              <w:rPr>
                <w:rFonts w:ascii="Arial" w:hAnsi="Arial" w:cs="Arial"/>
                <w:lang w:val="de-CH"/>
              </w:rPr>
              <w:t>4</w:t>
            </w:r>
          </w:p>
        </w:tc>
      </w:tr>
      <w:tr w:rsidR="0021468A" w:rsidRPr="00743A83" w:rsidTr="00BC3D3C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21468A" w:rsidP="00BC3D3C">
            <w:pPr>
              <w:pStyle w:val="etgFaxHeaderC1"/>
              <w:spacing w:line="220" w:lineRule="atLeast"/>
              <w:rPr>
                <w:color w:val="auto"/>
              </w:rPr>
            </w:pPr>
            <w:r w:rsidRPr="00743A83">
              <w:rPr>
                <w:color w:val="auto"/>
              </w:rPr>
              <w:t>Ort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21468A" w:rsidP="007D37A7">
            <w:pPr>
              <w:spacing w:after="0"/>
              <w:rPr>
                <w:rFonts w:ascii="Arial" w:hAnsi="Arial" w:cs="Arial"/>
                <w:lang w:val="de-CH"/>
              </w:rPr>
            </w:pPr>
            <w:r w:rsidRPr="00743A83">
              <w:rPr>
                <w:rFonts w:ascii="Arial" w:hAnsi="Arial" w:cs="Arial"/>
                <w:lang w:val="de-CH"/>
              </w:rPr>
              <w:t>Freienbach</w:t>
            </w:r>
            <w:r w:rsidR="00BF2DF7" w:rsidRPr="00743A83">
              <w:rPr>
                <w:rFonts w:ascii="Arial" w:hAnsi="Arial" w:cs="Arial"/>
                <w:lang w:val="de-CH"/>
              </w:rPr>
              <w:t xml:space="preserve"> / Bern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21468A" w:rsidP="007D37A7">
            <w:pPr>
              <w:spacing w:after="0"/>
              <w:rPr>
                <w:rFonts w:ascii="Arial" w:hAnsi="Arial" w:cs="Arial"/>
                <w:lang w:val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6557BF" w:rsidP="006557BF">
            <w:pPr>
              <w:pStyle w:val="etgFaxHeaderC1"/>
              <w:spacing w:line="220" w:lineRule="atLeast"/>
              <w:rPr>
                <w:color w:val="auto"/>
              </w:rPr>
            </w:pPr>
            <w:r w:rsidRPr="00743A83">
              <w:rPr>
                <w:color w:val="auto"/>
              </w:rPr>
              <w:t>Sperrfrist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21468A" w:rsidRPr="00743A83" w:rsidRDefault="0021468A" w:rsidP="00F53718">
            <w:pPr>
              <w:spacing w:after="0"/>
              <w:rPr>
                <w:rFonts w:ascii="Arial" w:hAnsi="Arial" w:cs="Arial"/>
                <w:lang w:val="de-CH"/>
              </w:rPr>
            </w:pPr>
            <w:bookmarkStart w:id="0" w:name="_GoBack"/>
            <w:bookmarkEnd w:id="0"/>
          </w:p>
        </w:tc>
      </w:tr>
    </w:tbl>
    <w:p w:rsidR="0021468A" w:rsidRPr="00743A83" w:rsidRDefault="0021468A" w:rsidP="0021468A">
      <w:pPr>
        <w:rPr>
          <w:rFonts w:ascii="Arial" w:hAnsi="Arial" w:cs="Arial"/>
          <w:lang w:val="de-CH"/>
        </w:rPr>
      </w:pPr>
    </w:p>
    <w:p w:rsidR="007D37A7" w:rsidRPr="00743A83" w:rsidRDefault="00D87D0B" w:rsidP="007D37A7">
      <w:pPr>
        <w:autoSpaceDE w:val="0"/>
        <w:autoSpaceDN w:val="0"/>
        <w:adjustRightInd w:val="0"/>
        <w:spacing w:after="40" w:line="240" w:lineRule="auto"/>
        <w:ind w:right="-34"/>
        <w:rPr>
          <w:rFonts w:ascii="Arial" w:hAnsi="Arial" w:cs="Arial"/>
          <w:b/>
          <w:bCs/>
          <w:lang w:val="de-CH" w:eastAsia="de-CH"/>
        </w:rPr>
      </w:pPr>
      <w:bookmarkStart w:id="1" w:name="OLE_LINK11"/>
      <w:bookmarkStart w:id="2" w:name="OLE_LINK12"/>
      <w:bookmarkStart w:id="3" w:name="OLE_LINK13"/>
      <w:bookmarkStart w:id="4" w:name="OLE_LINK14"/>
      <w:bookmarkStart w:id="5" w:name="OLE_LINK17"/>
      <w:bookmarkStart w:id="6" w:name="OLE_LINK18"/>
      <w:bookmarkStart w:id="7" w:name="OLE_LINK1"/>
      <w:bookmarkStart w:id="8" w:name="OLE_LINK2"/>
      <w:r w:rsidRPr="00743A83">
        <w:rPr>
          <w:rFonts w:ascii="Arial" w:hAnsi="Arial" w:cs="Arial"/>
          <w:b/>
          <w:bCs/>
          <w:lang w:val="de-CH" w:eastAsia="de-CH"/>
        </w:rPr>
        <w:t xml:space="preserve">Rückläufige </w:t>
      </w:r>
      <w:r w:rsidR="008966C2" w:rsidRPr="00743A83">
        <w:rPr>
          <w:rFonts w:ascii="Arial" w:hAnsi="Arial" w:cs="Arial"/>
          <w:b/>
          <w:bCs/>
          <w:lang w:val="de-CH" w:eastAsia="de-CH"/>
        </w:rPr>
        <w:t>Neu- und Gebrauchtwagenverkäufe</w:t>
      </w:r>
      <w:r w:rsidR="00A4662D" w:rsidRPr="00743A83">
        <w:rPr>
          <w:rFonts w:ascii="Arial" w:hAnsi="Arial" w:cs="Arial"/>
          <w:b/>
          <w:bCs/>
          <w:lang w:val="de-CH" w:eastAsia="de-CH"/>
        </w:rPr>
        <w:t xml:space="preserve"> im 1. </w:t>
      </w:r>
      <w:r w:rsidR="008966C2" w:rsidRPr="00743A83">
        <w:rPr>
          <w:rFonts w:ascii="Arial" w:hAnsi="Arial" w:cs="Arial"/>
          <w:b/>
          <w:bCs/>
          <w:lang w:val="de-CH" w:eastAsia="de-CH"/>
        </w:rPr>
        <w:t>Halbjahr</w:t>
      </w:r>
      <w:r w:rsidR="00A4662D" w:rsidRPr="00743A83">
        <w:rPr>
          <w:rFonts w:ascii="Arial" w:hAnsi="Arial" w:cs="Arial"/>
          <w:b/>
          <w:bCs/>
          <w:lang w:val="de-CH" w:eastAsia="de-CH"/>
        </w:rPr>
        <w:t xml:space="preserve"> 2014</w:t>
      </w:r>
    </w:p>
    <w:p w:rsidR="007D37A7" w:rsidRPr="00743A83" w:rsidRDefault="00DF5B7F" w:rsidP="007D37A7">
      <w:pPr>
        <w:autoSpaceDE w:val="0"/>
        <w:autoSpaceDN w:val="0"/>
        <w:adjustRightInd w:val="0"/>
        <w:spacing w:after="0" w:line="340" w:lineRule="atLeast"/>
        <w:ind w:right="-34"/>
        <w:rPr>
          <w:rFonts w:ascii="Arial" w:hAnsi="Arial" w:cs="Arial"/>
          <w:b/>
          <w:bCs/>
          <w:sz w:val="27"/>
          <w:szCs w:val="27"/>
          <w:lang w:val="de-CH" w:eastAsia="de-CH"/>
        </w:rPr>
      </w:pPr>
      <w:r w:rsidRPr="00743A83">
        <w:rPr>
          <w:rFonts w:ascii="Arial" w:hAnsi="Arial" w:cs="Arial"/>
          <w:b/>
          <w:bCs/>
          <w:sz w:val="27"/>
          <w:szCs w:val="27"/>
          <w:lang w:val="de-CH" w:eastAsia="de-CH"/>
        </w:rPr>
        <w:t xml:space="preserve">Schweizer </w:t>
      </w:r>
      <w:r w:rsidR="008966C2" w:rsidRPr="00743A83">
        <w:rPr>
          <w:rFonts w:ascii="Arial" w:hAnsi="Arial" w:cs="Arial"/>
          <w:b/>
          <w:bCs/>
          <w:sz w:val="27"/>
          <w:szCs w:val="27"/>
          <w:lang w:val="de-CH" w:eastAsia="de-CH"/>
        </w:rPr>
        <w:t>Personenwagenmarkt</w:t>
      </w:r>
      <w:r w:rsidR="0067657A" w:rsidRPr="00743A83">
        <w:rPr>
          <w:rFonts w:ascii="Arial" w:hAnsi="Arial" w:cs="Arial"/>
          <w:b/>
          <w:bCs/>
          <w:sz w:val="27"/>
          <w:szCs w:val="27"/>
          <w:lang w:val="de-CH" w:eastAsia="de-CH"/>
        </w:rPr>
        <w:t xml:space="preserve"> zeigt Sättigungstendenz</w:t>
      </w:r>
      <w:r w:rsidR="00F53718">
        <w:rPr>
          <w:rFonts w:ascii="Arial" w:hAnsi="Arial" w:cs="Arial"/>
          <w:b/>
          <w:bCs/>
          <w:sz w:val="27"/>
          <w:szCs w:val="27"/>
          <w:lang w:val="de-CH" w:eastAsia="de-CH"/>
        </w:rPr>
        <w:t>en</w:t>
      </w:r>
    </w:p>
    <w:bookmarkEnd w:id="1"/>
    <w:bookmarkEnd w:id="2"/>
    <w:bookmarkEnd w:id="3"/>
    <w:bookmarkEnd w:id="4"/>
    <w:bookmarkEnd w:id="5"/>
    <w:bookmarkEnd w:id="6"/>
    <w:p w:rsidR="0021468A" w:rsidRPr="00743A83" w:rsidRDefault="0021468A" w:rsidP="007D37A7">
      <w:pPr>
        <w:autoSpaceDE w:val="0"/>
        <w:autoSpaceDN w:val="0"/>
        <w:adjustRightInd w:val="0"/>
        <w:spacing w:after="120" w:line="240" w:lineRule="auto"/>
        <w:ind w:right="-85"/>
        <w:rPr>
          <w:rFonts w:ascii="Arial" w:hAnsi="Arial" w:cs="Arial"/>
          <w:sz w:val="16"/>
          <w:szCs w:val="16"/>
          <w:lang w:val="de-CH"/>
        </w:rPr>
      </w:pPr>
    </w:p>
    <w:bookmarkEnd w:id="7"/>
    <w:bookmarkEnd w:id="8"/>
    <w:p w:rsidR="00DD5181" w:rsidRPr="00743A83" w:rsidRDefault="00DD5181" w:rsidP="0021468A">
      <w:pPr>
        <w:pStyle w:val="etgLead"/>
        <w:suppressAutoHyphens/>
        <w:spacing w:before="0" w:after="0" w:line="320" w:lineRule="atLeast"/>
        <w:rPr>
          <w:rStyle w:val="etgHeaderContdSubject"/>
          <w:b/>
          <w:color w:val="auto"/>
          <w:sz w:val="22"/>
          <w:lang w:val="de-CH"/>
        </w:rPr>
      </w:pPr>
      <w:r w:rsidRPr="00743A83">
        <w:rPr>
          <w:rStyle w:val="etgHeaderContdSubject"/>
          <w:b/>
          <w:color w:val="auto"/>
          <w:sz w:val="22"/>
          <w:lang w:val="de-CH"/>
        </w:rPr>
        <w:t xml:space="preserve">Im ersten Halbjahr </w:t>
      </w:r>
      <w:r w:rsidR="002F0EAA">
        <w:rPr>
          <w:rStyle w:val="etgHeaderContdSubject"/>
          <w:b/>
          <w:color w:val="auto"/>
          <w:sz w:val="22"/>
          <w:lang w:val="de-CH"/>
        </w:rPr>
        <w:t xml:space="preserve">2014 war die Nachfrage nach </w:t>
      </w:r>
      <w:r w:rsidR="002F0EAA" w:rsidRPr="00743A83">
        <w:rPr>
          <w:rStyle w:val="etgHeaderContdSubject"/>
          <w:b/>
          <w:color w:val="auto"/>
          <w:sz w:val="22"/>
          <w:lang w:val="de-CH"/>
        </w:rPr>
        <w:t xml:space="preserve">Neuwagen </w:t>
      </w:r>
      <w:r w:rsidR="000764A5" w:rsidRPr="00743A83">
        <w:rPr>
          <w:rStyle w:val="etgHeaderContdSubject"/>
          <w:b/>
          <w:color w:val="auto"/>
          <w:sz w:val="22"/>
          <w:lang w:val="de-CH"/>
        </w:rPr>
        <w:t xml:space="preserve">in der Schweiz </w:t>
      </w:r>
      <w:r w:rsidRPr="00743A83">
        <w:rPr>
          <w:rStyle w:val="etgHeaderContdSubject"/>
          <w:b/>
          <w:color w:val="auto"/>
          <w:sz w:val="22"/>
          <w:lang w:val="de-CH"/>
        </w:rPr>
        <w:t>sowie</w:t>
      </w:r>
      <w:r w:rsidR="000764A5" w:rsidRPr="00743A83">
        <w:rPr>
          <w:rStyle w:val="etgHeaderContdSubject"/>
          <w:b/>
          <w:color w:val="auto"/>
          <w:sz w:val="22"/>
          <w:lang w:val="de-CH"/>
        </w:rPr>
        <w:t xml:space="preserve"> im Fürstentum Liechtenstein </w:t>
      </w:r>
      <w:r w:rsidR="002F0EAA">
        <w:rPr>
          <w:rStyle w:val="etgHeaderContdSubject"/>
          <w:b/>
          <w:color w:val="auto"/>
          <w:sz w:val="22"/>
          <w:lang w:val="de-CH"/>
        </w:rPr>
        <w:t xml:space="preserve">jeden Monat geringer </w:t>
      </w:r>
      <w:r w:rsidR="002F0EAA" w:rsidRPr="00743A83">
        <w:rPr>
          <w:rStyle w:val="etgHeaderContdSubject"/>
          <w:b/>
          <w:color w:val="auto"/>
          <w:sz w:val="22"/>
          <w:lang w:val="de-CH"/>
        </w:rPr>
        <w:t xml:space="preserve">als </w:t>
      </w:r>
      <w:r w:rsidR="002F0EAA">
        <w:rPr>
          <w:rStyle w:val="etgHeaderContdSubject"/>
          <w:b/>
          <w:color w:val="auto"/>
          <w:sz w:val="22"/>
          <w:lang w:val="de-CH"/>
        </w:rPr>
        <w:t>im</w:t>
      </w:r>
      <w:r w:rsidR="002F0EAA" w:rsidRPr="00743A83">
        <w:rPr>
          <w:rStyle w:val="etgHeaderContdSubject"/>
          <w:b/>
          <w:color w:val="auto"/>
          <w:sz w:val="22"/>
          <w:lang w:val="de-CH"/>
        </w:rPr>
        <w:t xml:space="preserve"> Vorjahr</w:t>
      </w:r>
      <w:r w:rsidR="000764A5" w:rsidRPr="00743A83">
        <w:rPr>
          <w:rStyle w:val="etgHeaderContdSubject"/>
          <w:b/>
          <w:color w:val="auto"/>
          <w:sz w:val="22"/>
          <w:lang w:val="de-CH"/>
        </w:rPr>
        <w:t>.</w:t>
      </w:r>
      <w:r w:rsidR="00327690" w:rsidRPr="00743A83">
        <w:rPr>
          <w:rStyle w:val="etgHeaderContdSubject"/>
          <w:b/>
          <w:color w:val="auto"/>
          <w:sz w:val="22"/>
          <w:lang w:val="de-CH"/>
        </w:rPr>
        <w:t xml:space="preserve"> </w:t>
      </w:r>
      <w:r w:rsidR="002F0EAA">
        <w:rPr>
          <w:rStyle w:val="etgHeaderContdSubject"/>
          <w:b/>
          <w:color w:val="auto"/>
          <w:sz w:val="22"/>
          <w:lang w:val="de-CH"/>
        </w:rPr>
        <w:t>Zwischen Januar und Juni wurde</w:t>
      </w:r>
      <w:r w:rsidR="00196051">
        <w:rPr>
          <w:rStyle w:val="etgHeaderContdSubject"/>
          <w:b/>
          <w:color w:val="auto"/>
          <w:sz w:val="22"/>
          <w:lang w:val="de-CH"/>
        </w:rPr>
        <w:t>n</w:t>
      </w:r>
      <w:r w:rsidR="002F0EAA">
        <w:rPr>
          <w:rStyle w:val="etgHeaderContdSubject"/>
          <w:b/>
          <w:color w:val="auto"/>
          <w:sz w:val="22"/>
          <w:lang w:val="de-CH"/>
        </w:rPr>
        <w:t xml:space="preserve"> insgesamt </w:t>
      </w:r>
      <w:r w:rsidRPr="00743A83">
        <w:rPr>
          <w:rStyle w:val="etgHeaderContdSubject"/>
          <w:b/>
          <w:color w:val="auto"/>
          <w:sz w:val="22"/>
          <w:lang w:val="de-CH"/>
        </w:rPr>
        <w:t>149</w:t>
      </w:r>
      <w:r w:rsidR="00CE117D" w:rsidRPr="00743A83">
        <w:rPr>
          <w:rStyle w:val="etgHeaderContdSubject"/>
          <w:b/>
          <w:color w:val="auto"/>
          <w:sz w:val="22"/>
          <w:lang w:val="de-CH"/>
        </w:rPr>
        <w:t>'</w:t>
      </w:r>
      <w:r w:rsidRPr="00743A83">
        <w:rPr>
          <w:rStyle w:val="etgHeaderContdSubject"/>
          <w:b/>
          <w:color w:val="auto"/>
          <w:sz w:val="22"/>
          <w:lang w:val="de-CH"/>
        </w:rPr>
        <w:t>905</w:t>
      </w:r>
      <w:r w:rsidR="00CA1B4D" w:rsidRPr="00743A83">
        <w:rPr>
          <w:rStyle w:val="etgHeaderContdSubject"/>
          <w:b/>
          <w:color w:val="auto"/>
          <w:sz w:val="22"/>
          <w:lang w:val="de-CH"/>
        </w:rPr>
        <w:t xml:space="preserve"> 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>Personenwagen</w:t>
      </w:r>
      <w:r w:rsidR="002F0EAA">
        <w:rPr>
          <w:rStyle w:val="etgHeaderContdSubject"/>
          <w:b/>
          <w:color w:val="auto"/>
          <w:sz w:val="22"/>
          <w:lang w:val="de-CH"/>
        </w:rPr>
        <w:t xml:space="preserve"> neu</w:t>
      </w:r>
      <w:r w:rsidR="002F0EAA" w:rsidRPr="00743A83">
        <w:rPr>
          <w:rStyle w:val="etgHeaderContdSubject"/>
          <w:b/>
          <w:color w:val="auto"/>
          <w:sz w:val="22"/>
          <w:lang w:val="de-CH"/>
        </w:rPr>
        <w:t xml:space="preserve"> immatrikuliert</w:t>
      </w:r>
      <w:r w:rsidR="002F0EAA">
        <w:rPr>
          <w:rStyle w:val="etgHeaderContdSubject"/>
          <w:b/>
          <w:color w:val="auto"/>
          <w:sz w:val="22"/>
          <w:lang w:val="de-CH"/>
        </w:rPr>
        <w:t xml:space="preserve"> – dies </w:t>
      </w:r>
      <w:r w:rsidRPr="00743A83">
        <w:rPr>
          <w:rStyle w:val="etgHeaderContdSubject"/>
          <w:b/>
          <w:color w:val="auto"/>
          <w:sz w:val="22"/>
          <w:lang w:val="de-CH"/>
        </w:rPr>
        <w:t>sind 6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>'</w:t>
      </w:r>
      <w:r w:rsidRPr="00743A83">
        <w:rPr>
          <w:rStyle w:val="etgHeaderContdSubject"/>
          <w:b/>
          <w:color w:val="auto"/>
          <w:sz w:val="22"/>
          <w:lang w:val="de-CH"/>
        </w:rPr>
        <w:t xml:space="preserve">400 Fahrzeuge </w:t>
      </w:r>
      <w:r w:rsidR="00622E50" w:rsidRPr="00743A83">
        <w:rPr>
          <w:rStyle w:val="etgHeaderContdSubject"/>
          <w:b/>
          <w:color w:val="auto"/>
          <w:sz w:val="22"/>
          <w:lang w:val="de-CH"/>
        </w:rPr>
        <w:t>(-</w:t>
      </w:r>
      <w:r w:rsidRPr="00743A83">
        <w:rPr>
          <w:rStyle w:val="etgHeaderContdSubject"/>
          <w:b/>
          <w:color w:val="auto"/>
          <w:sz w:val="22"/>
          <w:lang w:val="de-CH"/>
        </w:rPr>
        <w:t>4,1%</w:t>
      </w:r>
      <w:r w:rsidR="00622E50" w:rsidRPr="00743A83">
        <w:rPr>
          <w:rStyle w:val="etgHeaderContdSubject"/>
          <w:b/>
          <w:color w:val="auto"/>
          <w:sz w:val="22"/>
          <w:lang w:val="de-CH"/>
        </w:rPr>
        <w:t>)</w:t>
      </w:r>
      <w:r w:rsidRPr="00743A83">
        <w:rPr>
          <w:rStyle w:val="etgHeaderContdSubject"/>
          <w:b/>
          <w:color w:val="auto"/>
          <w:sz w:val="22"/>
          <w:lang w:val="de-CH"/>
        </w:rPr>
        <w:t xml:space="preserve"> weniger als </w:t>
      </w:r>
      <w:r w:rsidR="002F0EAA">
        <w:rPr>
          <w:rStyle w:val="etgHeaderContdSubject"/>
          <w:b/>
          <w:color w:val="auto"/>
          <w:sz w:val="22"/>
          <w:lang w:val="de-CH"/>
        </w:rPr>
        <w:t>im gleichen Zeitraum des Vorjahres</w:t>
      </w:r>
      <w:r w:rsidRPr="00743A83">
        <w:rPr>
          <w:rStyle w:val="etgHeaderContdSubject"/>
          <w:b/>
          <w:color w:val="auto"/>
          <w:sz w:val="22"/>
          <w:lang w:val="de-CH"/>
        </w:rPr>
        <w:t xml:space="preserve">. Während diese </w:t>
      </w:r>
      <w:r w:rsidR="00622E50" w:rsidRPr="00743A83">
        <w:rPr>
          <w:rStyle w:val="etgHeaderContdSubject"/>
          <w:b/>
          <w:color w:val="auto"/>
          <w:sz w:val="22"/>
          <w:lang w:val="de-CH"/>
        </w:rPr>
        <w:t>Entwicklung</w:t>
      </w:r>
      <w:r w:rsidRPr="00743A83">
        <w:rPr>
          <w:rStyle w:val="etgHeaderContdSubject"/>
          <w:b/>
          <w:color w:val="auto"/>
          <w:sz w:val="22"/>
          <w:lang w:val="de-CH"/>
        </w:rPr>
        <w:t xml:space="preserve"> </w:t>
      </w:r>
      <w:r w:rsidR="002F0EAA">
        <w:rPr>
          <w:rStyle w:val="etgHeaderContdSubject"/>
          <w:b/>
          <w:color w:val="auto"/>
          <w:sz w:val="22"/>
          <w:lang w:val="de-CH"/>
        </w:rPr>
        <w:t xml:space="preserve">– auch in </w:t>
      </w:r>
      <w:r w:rsidR="00622E50" w:rsidRPr="00743A83">
        <w:rPr>
          <w:rStyle w:val="etgHeaderContdSubject"/>
          <w:b/>
          <w:color w:val="auto"/>
          <w:sz w:val="22"/>
          <w:lang w:val="de-CH"/>
        </w:rPr>
        <w:t xml:space="preserve">der Grössenordnung </w:t>
      </w:r>
      <w:r w:rsidR="002F0EAA">
        <w:rPr>
          <w:rStyle w:val="etgHeaderContdSubject"/>
          <w:b/>
          <w:color w:val="auto"/>
          <w:sz w:val="22"/>
          <w:lang w:val="de-CH"/>
        </w:rPr>
        <w:t xml:space="preserve">– </w:t>
      </w:r>
      <w:r w:rsidR="00F622AA">
        <w:rPr>
          <w:rStyle w:val="etgHeaderContdSubject"/>
          <w:b/>
          <w:color w:val="auto"/>
          <w:sz w:val="22"/>
          <w:lang w:val="de-CH"/>
        </w:rPr>
        <w:t xml:space="preserve">zu erwarten </w:t>
      </w:r>
      <w:r w:rsidRPr="00743A83">
        <w:rPr>
          <w:rStyle w:val="etgHeaderContdSubject"/>
          <w:b/>
          <w:color w:val="auto"/>
          <w:sz w:val="22"/>
          <w:lang w:val="de-CH"/>
        </w:rPr>
        <w:t xml:space="preserve"> war, </w:t>
      </w:r>
      <w:r w:rsidR="00F622AA">
        <w:rPr>
          <w:rStyle w:val="etgHeaderContdSubject"/>
          <w:b/>
          <w:color w:val="auto"/>
          <w:sz w:val="22"/>
          <w:lang w:val="de-CH"/>
        </w:rPr>
        <w:t xml:space="preserve">ist 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der </w:t>
      </w:r>
      <w:r w:rsidR="002F0EAA">
        <w:rPr>
          <w:rStyle w:val="etgHeaderContdSubject"/>
          <w:b/>
          <w:color w:val="auto"/>
          <w:sz w:val="22"/>
          <w:lang w:val="de-CH"/>
        </w:rPr>
        <w:t>zahlen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>mässig fas</w:t>
      </w:r>
      <w:r w:rsidR="006451C4">
        <w:rPr>
          <w:rStyle w:val="etgHeaderContdSubject"/>
          <w:b/>
          <w:color w:val="auto"/>
          <w:sz w:val="22"/>
          <w:lang w:val="de-CH"/>
        </w:rPr>
        <w:t>t ebenso starke Rückgang bei Gebrauchtwagen</w:t>
      </w:r>
      <w:r w:rsidR="00F622AA">
        <w:rPr>
          <w:rStyle w:val="etgHeaderContdSubject"/>
          <w:b/>
          <w:color w:val="auto"/>
          <w:sz w:val="22"/>
          <w:lang w:val="de-CH"/>
        </w:rPr>
        <w:t xml:space="preserve"> unter den Erwartungen  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>. Wie die Markt</w:t>
      </w:r>
      <w:r w:rsidR="00DF4FBC">
        <w:rPr>
          <w:rStyle w:val="etgHeaderContdSubject"/>
          <w:b/>
          <w:color w:val="auto"/>
          <w:sz w:val="22"/>
          <w:lang w:val="de-CH"/>
        </w:rPr>
        <w:softHyphen/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analysten von Eurotax berechnet haben, wechselten von Januar bis Juni 423'854 </w:t>
      </w:r>
      <w:r w:rsidR="006451C4">
        <w:rPr>
          <w:rStyle w:val="etgHeaderContdSubject"/>
          <w:b/>
          <w:color w:val="auto"/>
          <w:sz w:val="22"/>
          <w:lang w:val="de-CH"/>
        </w:rPr>
        <w:t>Occasionen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 ihren Besitzer, was im Vorjahr</w:t>
      </w:r>
      <w:r w:rsidR="002F0EAA">
        <w:rPr>
          <w:rStyle w:val="etgHeaderContdSubject"/>
          <w:b/>
          <w:color w:val="auto"/>
          <w:sz w:val="22"/>
          <w:lang w:val="de-CH"/>
        </w:rPr>
        <w:t>esvergleich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 </w:t>
      </w:r>
      <w:r w:rsidR="00622E50" w:rsidRPr="00743A83">
        <w:rPr>
          <w:rStyle w:val="etgHeaderContdSubject"/>
          <w:b/>
          <w:color w:val="auto"/>
          <w:sz w:val="22"/>
          <w:lang w:val="de-CH"/>
        </w:rPr>
        <w:t xml:space="preserve">ebenfalls 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einem Minus </w:t>
      </w:r>
      <w:r w:rsidR="00622E50" w:rsidRPr="00743A83">
        <w:rPr>
          <w:rStyle w:val="etgHeaderContdSubject"/>
          <w:b/>
          <w:color w:val="auto"/>
          <w:sz w:val="22"/>
          <w:lang w:val="de-CH"/>
        </w:rPr>
        <w:t xml:space="preserve">von 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5'815 Fahrzeugen </w:t>
      </w:r>
      <w:r w:rsidR="00622E50" w:rsidRPr="00743A83">
        <w:rPr>
          <w:rStyle w:val="etgHeaderContdSubject"/>
          <w:b/>
          <w:color w:val="auto"/>
          <w:sz w:val="22"/>
          <w:lang w:val="de-CH"/>
        </w:rPr>
        <w:t xml:space="preserve">(-1,2%) 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entspricht. Der </w:t>
      </w:r>
      <w:r w:rsidR="0067657A" w:rsidRPr="00743A83">
        <w:rPr>
          <w:rStyle w:val="etgHeaderContdSubject"/>
          <w:b/>
          <w:color w:val="auto"/>
          <w:sz w:val="22"/>
          <w:lang w:val="de-CH"/>
        </w:rPr>
        <w:t>geringere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 Zustrom von jungen Gebraucht</w:t>
      </w:r>
      <w:r w:rsidR="00DF4FBC">
        <w:rPr>
          <w:rStyle w:val="etgHeaderContdSubject"/>
          <w:b/>
          <w:color w:val="auto"/>
          <w:sz w:val="22"/>
          <w:lang w:val="de-CH"/>
        </w:rPr>
        <w:softHyphen/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wagen aus dem Ausland führte </w:t>
      </w:r>
      <w:r w:rsidR="00F53718" w:rsidRPr="00743A83">
        <w:rPr>
          <w:rStyle w:val="etgHeaderContdSubject"/>
          <w:b/>
          <w:color w:val="auto"/>
          <w:sz w:val="22"/>
          <w:lang w:val="de-CH"/>
        </w:rPr>
        <w:t>gleichwohl</w:t>
      </w:r>
      <w:r w:rsidR="00622E50" w:rsidRPr="00743A83">
        <w:rPr>
          <w:rStyle w:val="etgHeaderContdSubject"/>
          <w:b/>
          <w:color w:val="auto"/>
          <w:sz w:val="22"/>
          <w:lang w:val="de-CH"/>
        </w:rPr>
        <w:t xml:space="preserve"> 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 xml:space="preserve">dazu, dass die durchschnittliche Standzeit auf </w:t>
      </w:r>
      <w:r w:rsidR="0067657A" w:rsidRPr="00743A83">
        <w:rPr>
          <w:rStyle w:val="etgHeaderContdSubject"/>
          <w:b/>
          <w:color w:val="auto"/>
          <w:sz w:val="22"/>
          <w:lang w:val="de-CH"/>
        </w:rPr>
        <w:t xml:space="preserve">derzeit </w:t>
      </w:r>
      <w:r w:rsidR="00072BF2" w:rsidRPr="00743A83">
        <w:rPr>
          <w:rStyle w:val="etgHeaderContdSubject"/>
          <w:b/>
          <w:color w:val="auto"/>
          <w:sz w:val="22"/>
          <w:lang w:val="de-CH"/>
        </w:rPr>
        <w:t>noch 94 Tage fiel.</w:t>
      </w:r>
    </w:p>
    <w:p w:rsidR="00212CB9" w:rsidRPr="00743A83" w:rsidRDefault="00212CB9" w:rsidP="00CD3F09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</w:p>
    <w:p w:rsidR="00261083" w:rsidRPr="00743A83" w:rsidRDefault="00EE1801" w:rsidP="00261083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>
        <w:rPr>
          <w:rStyle w:val="etgHeaderContdSubject"/>
          <w:color w:val="auto"/>
          <w:sz w:val="22"/>
          <w:lang w:val="de-CH"/>
        </w:rPr>
        <w:t xml:space="preserve">Die </w:t>
      </w:r>
      <w:r w:rsidR="0048490F" w:rsidRPr="00743A83">
        <w:rPr>
          <w:rStyle w:val="etgHeaderContdSubject"/>
          <w:color w:val="auto"/>
          <w:sz w:val="22"/>
          <w:lang w:val="de-CH"/>
        </w:rPr>
        <w:t xml:space="preserve">Zahlen von der Verkaufsfront </w:t>
      </w:r>
      <w:r>
        <w:rPr>
          <w:rStyle w:val="etgHeaderContdSubject"/>
          <w:color w:val="auto"/>
          <w:sz w:val="22"/>
          <w:lang w:val="de-CH"/>
        </w:rPr>
        <w:t xml:space="preserve">widerspiegeln </w:t>
      </w:r>
      <w:r w:rsidR="006451C4">
        <w:rPr>
          <w:rStyle w:val="etgHeaderContdSubject"/>
          <w:color w:val="auto"/>
          <w:sz w:val="22"/>
          <w:lang w:val="de-CH"/>
        </w:rPr>
        <w:t xml:space="preserve">erfahrungsgemäss </w:t>
      </w:r>
      <w:r>
        <w:rPr>
          <w:rStyle w:val="etgHeaderContdSubject"/>
          <w:color w:val="auto"/>
          <w:sz w:val="22"/>
          <w:lang w:val="de-CH"/>
        </w:rPr>
        <w:t>den</w:t>
      </w:r>
      <w:r w:rsidR="0048490F" w:rsidRPr="00743A83">
        <w:rPr>
          <w:rStyle w:val="etgHeaderContdSubject"/>
          <w:color w:val="auto"/>
          <w:sz w:val="22"/>
          <w:lang w:val="de-CH"/>
        </w:rPr>
        <w:t xml:space="preserve"> Konjunktur</w:t>
      </w:r>
      <w:r>
        <w:rPr>
          <w:rStyle w:val="etgHeaderContdSubject"/>
          <w:color w:val="auto"/>
          <w:sz w:val="22"/>
          <w:lang w:val="de-CH"/>
        </w:rPr>
        <w:t>verlauf</w:t>
      </w:r>
      <w:r w:rsidR="0048490F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0A16FD" w:rsidRPr="00743A83">
        <w:rPr>
          <w:rStyle w:val="etgHeaderContdSubject"/>
          <w:color w:val="auto"/>
          <w:sz w:val="22"/>
          <w:lang w:val="de-CH"/>
        </w:rPr>
        <w:t>sowie</w:t>
      </w:r>
      <w:r w:rsidR="0048490F" w:rsidRPr="00743A83">
        <w:rPr>
          <w:rStyle w:val="etgHeaderContdSubject"/>
          <w:color w:val="auto"/>
          <w:sz w:val="22"/>
          <w:lang w:val="de-CH"/>
        </w:rPr>
        <w:t xml:space="preserve"> </w:t>
      </w:r>
      <w:r>
        <w:rPr>
          <w:rStyle w:val="etgHeaderContdSubject"/>
          <w:color w:val="auto"/>
          <w:sz w:val="22"/>
          <w:lang w:val="de-CH"/>
        </w:rPr>
        <w:t>die</w:t>
      </w:r>
      <w:r w:rsidR="0048490F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0A16FD" w:rsidRPr="00743A83">
        <w:rPr>
          <w:rStyle w:val="etgHeaderContdSubject"/>
          <w:color w:val="auto"/>
          <w:sz w:val="22"/>
          <w:lang w:val="de-CH"/>
        </w:rPr>
        <w:t xml:space="preserve">damit verbundenen </w:t>
      </w:r>
      <w:r w:rsidR="0048490F" w:rsidRPr="00743A83">
        <w:rPr>
          <w:rStyle w:val="etgHeaderContdSubject"/>
          <w:color w:val="auto"/>
          <w:sz w:val="22"/>
          <w:lang w:val="de-CH"/>
        </w:rPr>
        <w:t>Zukunftserwartung</w:t>
      </w:r>
      <w:r w:rsidR="00B93436" w:rsidRPr="00743A83">
        <w:rPr>
          <w:rStyle w:val="etgHeaderContdSubject"/>
          <w:color w:val="auto"/>
          <w:sz w:val="22"/>
          <w:lang w:val="de-CH"/>
        </w:rPr>
        <w:t>en</w:t>
      </w:r>
      <w:r>
        <w:rPr>
          <w:rStyle w:val="etgHeaderContdSubject"/>
          <w:color w:val="auto"/>
          <w:sz w:val="22"/>
          <w:lang w:val="de-CH"/>
        </w:rPr>
        <w:t xml:space="preserve"> der Konsumenten</w:t>
      </w:r>
      <w:r w:rsidR="0048490F" w:rsidRPr="00743A83">
        <w:rPr>
          <w:rStyle w:val="etgHeaderContdSubject"/>
          <w:color w:val="auto"/>
          <w:sz w:val="22"/>
          <w:lang w:val="de-CH"/>
        </w:rPr>
        <w:t xml:space="preserve">. </w:t>
      </w:r>
      <w:r w:rsidR="00731E92" w:rsidRPr="00743A83">
        <w:rPr>
          <w:rStyle w:val="etgHeaderContdSubject"/>
          <w:color w:val="auto"/>
          <w:sz w:val="22"/>
          <w:lang w:val="de-CH"/>
        </w:rPr>
        <w:t xml:space="preserve">Nach einer </w:t>
      </w:r>
      <w:r w:rsidR="00DC730D">
        <w:rPr>
          <w:rStyle w:val="etgHeaderContdSubject"/>
          <w:color w:val="auto"/>
          <w:sz w:val="22"/>
          <w:lang w:val="de-CH"/>
        </w:rPr>
        <w:t>längeren Phase anhaltenden</w:t>
      </w:r>
      <w:r w:rsidR="00731E92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0A16FD" w:rsidRPr="00743A83">
        <w:rPr>
          <w:rStyle w:val="etgHeaderContdSubject"/>
          <w:color w:val="auto"/>
          <w:sz w:val="22"/>
          <w:lang w:val="de-CH"/>
        </w:rPr>
        <w:t>W</w:t>
      </w:r>
      <w:r w:rsidR="00DC730D">
        <w:rPr>
          <w:rStyle w:val="etgHeaderContdSubject"/>
          <w:color w:val="auto"/>
          <w:sz w:val="22"/>
          <w:lang w:val="de-CH"/>
        </w:rPr>
        <w:t>irtschaftsw</w:t>
      </w:r>
      <w:r w:rsidR="000A16FD" w:rsidRPr="00743A83">
        <w:rPr>
          <w:rStyle w:val="etgHeaderContdSubject"/>
          <w:color w:val="auto"/>
          <w:sz w:val="22"/>
          <w:lang w:val="de-CH"/>
        </w:rPr>
        <w:t xml:space="preserve">achstums </w:t>
      </w:r>
      <w:r w:rsidR="00731E92" w:rsidRPr="00743A83">
        <w:rPr>
          <w:rStyle w:val="etgHeaderContdSubject"/>
          <w:color w:val="auto"/>
          <w:sz w:val="22"/>
          <w:lang w:val="de-CH"/>
        </w:rPr>
        <w:t xml:space="preserve">sind sich </w:t>
      </w:r>
      <w:r w:rsidR="00DC730D">
        <w:rPr>
          <w:rStyle w:val="etgHeaderContdSubject"/>
          <w:color w:val="auto"/>
          <w:sz w:val="22"/>
          <w:lang w:val="de-CH"/>
        </w:rPr>
        <w:t>die</w:t>
      </w:r>
      <w:r w:rsidR="00261083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B93436" w:rsidRPr="00743A83">
        <w:rPr>
          <w:rStyle w:val="etgHeaderContdSubject"/>
          <w:color w:val="auto"/>
          <w:sz w:val="22"/>
          <w:lang w:val="de-CH"/>
        </w:rPr>
        <w:t xml:space="preserve">meisten </w:t>
      </w:r>
      <w:r w:rsidR="00DC730D">
        <w:rPr>
          <w:rStyle w:val="etgHeaderContdSubject"/>
          <w:color w:val="auto"/>
          <w:sz w:val="22"/>
          <w:lang w:val="de-CH"/>
        </w:rPr>
        <w:t>Prognostiker</w:t>
      </w:r>
      <w:r w:rsidR="00DF1894" w:rsidRPr="00743A83">
        <w:rPr>
          <w:rStyle w:val="etgHeaderContdSubject"/>
          <w:color w:val="auto"/>
          <w:sz w:val="22"/>
          <w:lang w:val="de-CH"/>
        </w:rPr>
        <w:t xml:space="preserve"> </w:t>
      </w:r>
      <w:r>
        <w:rPr>
          <w:rStyle w:val="etgHeaderContdSubject"/>
          <w:color w:val="auto"/>
          <w:sz w:val="22"/>
          <w:lang w:val="de-CH"/>
        </w:rPr>
        <w:t xml:space="preserve">für einmal </w:t>
      </w:r>
      <w:r w:rsidR="0048490F" w:rsidRPr="00743A83">
        <w:rPr>
          <w:rStyle w:val="etgHeaderContdSubject"/>
          <w:color w:val="auto"/>
          <w:sz w:val="22"/>
          <w:lang w:val="de-CH"/>
        </w:rPr>
        <w:t xml:space="preserve">einig: Die Schweizer Wirtschaft kühlt sich auf </w:t>
      </w:r>
      <w:r w:rsidR="00A14EB2" w:rsidRPr="00743A83">
        <w:rPr>
          <w:rStyle w:val="etgHeaderContdSubject"/>
          <w:color w:val="auto"/>
          <w:sz w:val="22"/>
          <w:lang w:val="de-CH"/>
        </w:rPr>
        <w:t>dem aktuellen</w:t>
      </w:r>
      <w:r w:rsidR="0048490F" w:rsidRPr="00743A83">
        <w:rPr>
          <w:rStyle w:val="etgHeaderContdSubject"/>
          <w:color w:val="auto"/>
          <w:sz w:val="22"/>
          <w:lang w:val="de-CH"/>
        </w:rPr>
        <w:t xml:space="preserve"> Wachstumsniveau etwas ab</w:t>
      </w:r>
      <w:r w:rsidR="00B93436" w:rsidRPr="00743A83">
        <w:rPr>
          <w:rStyle w:val="etgHeaderContdSubject"/>
          <w:color w:val="auto"/>
          <w:sz w:val="22"/>
          <w:lang w:val="de-CH"/>
        </w:rPr>
        <w:t>, nachdem die Belebung der Exportwirtschaft den etwas schwächer wachsenden Privat</w:t>
      </w:r>
      <w:r w:rsidR="00E17C88">
        <w:rPr>
          <w:rStyle w:val="etgHeaderContdSubject"/>
          <w:color w:val="auto"/>
          <w:sz w:val="22"/>
          <w:lang w:val="de-CH"/>
        </w:rPr>
        <w:softHyphen/>
      </w:r>
      <w:r w:rsidR="00B93436" w:rsidRPr="00743A83">
        <w:rPr>
          <w:rStyle w:val="etgHeaderContdSubject"/>
          <w:color w:val="auto"/>
          <w:sz w:val="22"/>
          <w:lang w:val="de-CH"/>
        </w:rPr>
        <w:t>konsum zunächst noch zu kompensieren vermoch</w:t>
      </w:r>
      <w:r>
        <w:rPr>
          <w:rStyle w:val="etgHeaderContdSubject"/>
          <w:color w:val="auto"/>
          <w:sz w:val="22"/>
          <w:lang w:val="de-CH"/>
        </w:rPr>
        <w:t>te.</w:t>
      </w:r>
      <w:r w:rsidR="00E23179">
        <w:rPr>
          <w:rStyle w:val="etgHeaderContdSubject"/>
          <w:color w:val="auto"/>
          <w:sz w:val="22"/>
          <w:lang w:val="de-CH"/>
        </w:rPr>
        <w:t xml:space="preserve"> </w:t>
      </w:r>
      <w:r w:rsidR="00B93436" w:rsidRPr="00743A83">
        <w:rPr>
          <w:rStyle w:val="etgHeaderContdSubject"/>
          <w:color w:val="auto"/>
          <w:sz w:val="22"/>
          <w:lang w:val="de-CH"/>
        </w:rPr>
        <w:t xml:space="preserve">Wie die Konjunkturforschungsstelle der ETH Zürich </w:t>
      </w:r>
      <w:r w:rsidR="00A14EB2" w:rsidRPr="00743A83">
        <w:rPr>
          <w:rStyle w:val="etgHeaderContdSubject"/>
          <w:color w:val="auto"/>
          <w:sz w:val="22"/>
          <w:lang w:val="de-CH"/>
        </w:rPr>
        <w:t xml:space="preserve">Ende Juni </w:t>
      </w:r>
      <w:r w:rsidR="00B93436" w:rsidRPr="00743A83">
        <w:rPr>
          <w:rStyle w:val="etgHeaderContdSubject"/>
          <w:color w:val="auto"/>
          <w:sz w:val="22"/>
          <w:lang w:val="de-CH"/>
        </w:rPr>
        <w:t xml:space="preserve">vermeldete, </w:t>
      </w:r>
      <w:r w:rsidR="00261083" w:rsidRPr="00743A83">
        <w:rPr>
          <w:rStyle w:val="etgHeaderContdSubject"/>
          <w:color w:val="auto"/>
          <w:sz w:val="22"/>
          <w:lang w:val="de-CH"/>
        </w:rPr>
        <w:t>verharrt</w:t>
      </w:r>
      <w:r w:rsidR="00B93436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E17C88">
        <w:rPr>
          <w:rStyle w:val="etgHeaderContdSubject"/>
          <w:color w:val="auto"/>
          <w:sz w:val="22"/>
          <w:lang w:val="de-CH"/>
        </w:rPr>
        <w:t xml:space="preserve">derzeit </w:t>
      </w:r>
      <w:r w:rsidR="00B93436" w:rsidRPr="00743A83">
        <w:rPr>
          <w:rStyle w:val="etgHeaderContdSubject"/>
          <w:color w:val="auto"/>
          <w:sz w:val="22"/>
          <w:lang w:val="de-CH"/>
        </w:rPr>
        <w:t>das KOF-Barometer, ein Frü</w:t>
      </w:r>
      <w:r w:rsidR="00E23179">
        <w:rPr>
          <w:rStyle w:val="etgHeaderContdSubject"/>
          <w:color w:val="auto"/>
          <w:sz w:val="22"/>
          <w:lang w:val="de-CH"/>
        </w:rPr>
        <w:t>h</w:t>
      </w:r>
      <w:r w:rsidR="00B93436" w:rsidRPr="00743A83">
        <w:rPr>
          <w:rStyle w:val="etgHeaderContdSubject"/>
          <w:color w:val="auto"/>
          <w:sz w:val="22"/>
          <w:lang w:val="de-CH"/>
        </w:rPr>
        <w:t>indikator für die inländische Konjunkturentwicklung,</w:t>
      </w:r>
      <w:r w:rsidR="00261083" w:rsidRPr="00743A83">
        <w:rPr>
          <w:rStyle w:val="etgHeaderContdSubject"/>
          <w:color w:val="auto"/>
          <w:sz w:val="22"/>
          <w:lang w:val="de-CH"/>
        </w:rPr>
        <w:t xml:space="preserve"> auf Höhe seines langjährigen Durchschnittswertes. Für den </w:t>
      </w:r>
      <w:r w:rsidR="00C87401">
        <w:rPr>
          <w:rStyle w:val="etgHeaderContdSubject"/>
          <w:color w:val="auto"/>
          <w:sz w:val="22"/>
          <w:lang w:val="de-CH"/>
        </w:rPr>
        <w:t>(zusätzlichen) V</w:t>
      </w:r>
      <w:r w:rsidR="00261083" w:rsidRPr="00743A83">
        <w:rPr>
          <w:rStyle w:val="etgHeaderContdSubject"/>
          <w:color w:val="auto"/>
          <w:sz w:val="22"/>
          <w:lang w:val="de-CH"/>
        </w:rPr>
        <w:t>erkauf von Neuwagen</w:t>
      </w:r>
      <w:r w:rsidR="00A14EB2" w:rsidRPr="00743A83">
        <w:rPr>
          <w:rStyle w:val="etgHeaderContdSubject"/>
          <w:color w:val="auto"/>
          <w:sz w:val="22"/>
          <w:lang w:val="de-CH"/>
        </w:rPr>
        <w:t xml:space="preserve"> fehlen damit ausserordentliche </w:t>
      </w:r>
      <w:r w:rsidR="00E23179">
        <w:rPr>
          <w:rStyle w:val="etgHeaderContdSubject"/>
          <w:color w:val="auto"/>
          <w:sz w:val="22"/>
          <w:lang w:val="de-CH"/>
        </w:rPr>
        <w:t>Impulse</w:t>
      </w:r>
      <w:r w:rsidR="00A14EB2" w:rsidRPr="00743A83">
        <w:rPr>
          <w:rStyle w:val="etgHeaderContdSubject"/>
          <w:color w:val="auto"/>
          <w:sz w:val="22"/>
          <w:lang w:val="de-CH"/>
        </w:rPr>
        <w:t xml:space="preserve">. </w:t>
      </w:r>
      <w:r>
        <w:rPr>
          <w:rStyle w:val="etgHeaderContdSubject"/>
          <w:color w:val="auto"/>
          <w:sz w:val="22"/>
          <w:lang w:val="de-CH"/>
        </w:rPr>
        <w:t>G</w:t>
      </w:r>
      <w:r w:rsidR="00A14EB2" w:rsidRPr="00743A83">
        <w:rPr>
          <w:rStyle w:val="etgHeaderContdSubject"/>
          <w:color w:val="auto"/>
          <w:sz w:val="22"/>
          <w:lang w:val="de-CH"/>
        </w:rPr>
        <w:t>e</w:t>
      </w:r>
      <w:r w:rsidR="00A14EB2" w:rsidRPr="00743A83">
        <w:rPr>
          <w:rStyle w:val="etgHeaderContdSubject"/>
          <w:color w:val="auto"/>
          <w:sz w:val="22"/>
          <w:lang w:val="de-CH"/>
        </w:rPr>
        <w:t>stützt wird die Nachfrage</w:t>
      </w:r>
      <w:r w:rsidR="00C87401">
        <w:rPr>
          <w:rStyle w:val="etgHeaderContdSubject"/>
          <w:color w:val="auto"/>
          <w:sz w:val="22"/>
          <w:lang w:val="de-CH"/>
        </w:rPr>
        <w:t xml:space="preserve"> allerdings</w:t>
      </w:r>
      <w:r w:rsidR="00A14EB2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DC730D">
        <w:rPr>
          <w:rStyle w:val="etgHeaderContdSubject"/>
          <w:color w:val="auto"/>
          <w:sz w:val="22"/>
          <w:lang w:val="de-CH"/>
        </w:rPr>
        <w:t xml:space="preserve">weiterhin </w:t>
      </w:r>
      <w:r>
        <w:rPr>
          <w:rStyle w:val="etgHeaderContdSubject"/>
          <w:color w:val="auto"/>
          <w:sz w:val="22"/>
          <w:lang w:val="de-CH"/>
        </w:rPr>
        <w:t xml:space="preserve">von </w:t>
      </w:r>
      <w:r w:rsidR="00A14EB2" w:rsidRPr="00743A83">
        <w:rPr>
          <w:rStyle w:val="etgHeaderContdSubject"/>
          <w:color w:val="auto"/>
          <w:sz w:val="22"/>
          <w:lang w:val="de-CH"/>
        </w:rPr>
        <w:t>historisch tie</w:t>
      </w:r>
      <w:r w:rsidR="00F63F73" w:rsidRPr="00743A83">
        <w:rPr>
          <w:rStyle w:val="etgHeaderContdSubject"/>
          <w:color w:val="auto"/>
          <w:sz w:val="22"/>
          <w:lang w:val="de-CH"/>
        </w:rPr>
        <w:t>fe</w:t>
      </w:r>
      <w:r>
        <w:rPr>
          <w:rStyle w:val="etgHeaderContdSubject"/>
          <w:color w:val="auto"/>
          <w:sz w:val="22"/>
          <w:lang w:val="de-CH"/>
        </w:rPr>
        <w:t>n</w:t>
      </w:r>
      <w:r w:rsidR="00281DA0" w:rsidRPr="00743A83">
        <w:rPr>
          <w:rStyle w:val="etgHeaderContdSubject"/>
          <w:color w:val="auto"/>
          <w:sz w:val="22"/>
          <w:lang w:val="de-CH"/>
        </w:rPr>
        <w:t xml:space="preserve"> Finanzierungskosten, </w:t>
      </w:r>
      <w:r w:rsidR="00E17C88">
        <w:rPr>
          <w:rStyle w:val="etgHeaderContdSubject"/>
          <w:color w:val="auto"/>
          <w:sz w:val="22"/>
          <w:lang w:val="de-CH"/>
        </w:rPr>
        <w:t>von massiv</w:t>
      </w:r>
      <w:r w:rsidR="00281DA0" w:rsidRPr="00743A83">
        <w:rPr>
          <w:rStyle w:val="etgHeaderContdSubject"/>
          <w:color w:val="auto"/>
          <w:sz w:val="22"/>
          <w:lang w:val="de-CH"/>
        </w:rPr>
        <w:t xml:space="preserve"> gesenkte</w:t>
      </w:r>
      <w:r>
        <w:rPr>
          <w:rStyle w:val="etgHeaderContdSubject"/>
          <w:color w:val="auto"/>
          <w:sz w:val="22"/>
          <w:lang w:val="de-CH"/>
        </w:rPr>
        <w:t>n</w:t>
      </w:r>
      <w:r w:rsidR="00281DA0" w:rsidRPr="00743A83">
        <w:rPr>
          <w:rStyle w:val="etgHeaderContdSubject"/>
          <w:color w:val="auto"/>
          <w:sz w:val="22"/>
          <w:lang w:val="de-CH"/>
        </w:rPr>
        <w:t xml:space="preserve"> Listenpreise</w:t>
      </w:r>
      <w:r>
        <w:rPr>
          <w:rStyle w:val="etgHeaderContdSubject"/>
          <w:color w:val="auto"/>
          <w:sz w:val="22"/>
          <w:lang w:val="de-CH"/>
        </w:rPr>
        <w:t>n</w:t>
      </w:r>
      <w:r w:rsidR="00281DA0" w:rsidRPr="00743A83">
        <w:rPr>
          <w:rStyle w:val="etgHeaderContdSubject"/>
          <w:color w:val="auto"/>
          <w:sz w:val="22"/>
          <w:lang w:val="de-CH"/>
        </w:rPr>
        <w:t>,</w:t>
      </w:r>
      <w:r w:rsidR="00C87401">
        <w:rPr>
          <w:rStyle w:val="etgHeaderContdSubject"/>
          <w:color w:val="auto"/>
          <w:sz w:val="22"/>
          <w:lang w:val="de-CH"/>
        </w:rPr>
        <w:t xml:space="preserve"> </w:t>
      </w:r>
      <w:r w:rsidR="00E17C88">
        <w:rPr>
          <w:rStyle w:val="etgHeaderContdSubject"/>
          <w:color w:val="auto"/>
          <w:sz w:val="22"/>
          <w:lang w:val="de-CH"/>
        </w:rPr>
        <w:t>von der</w:t>
      </w:r>
      <w:r w:rsidR="00C87401">
        <w:rPr>
          <w:rStyle w:val="etgHeaderContdSubject"/>
          <w:color w:val="auto"/>
          <w:sz w:val="22"/>
          <w:lang w:val="de-CH"/>
        </w:rPr>
        <w:t xml:space="preserve"> anhaltend hohen Zuwanderung,</w:t>
      </w:r>
      <w:r w:rsidR="00281DA0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E17C88">
        <w:rPr>
          <w:rStyle w:val="etgHeaderContdSubject"/>
          <w:color w:val="auto"/>
          <w:sz w:val="22"/>
          <w:lang w:val="de-CH"/>
        </w:rPr>
        <w:t xml:space="preserve">vom </w:t>
      </w:r>
      <w:r w:rsidR="00281DA0" w:rsidRPr="00743A83">
        <w:rPr>
          <w:rStyle w:val="etgHeaderContdSubject"/>
          <w:color w:val="auto"/>
          <w:sz w:val="22"/>
          <w:lang w:val="de-CH"/>
        </w:rPr>
        <w:t>hohe</w:t>
      </w:r>
      <w:r w:rsidR="00F63F73" w:rsidRPr="00743A83">
        <w:rPr>
          <w:rStyle w:val="etgHeaderContdSubject"/>
          <w:color w:val="auto"/>
          <w:sz w:val="22"/>
          <w:lang w:val="de-CH"/>
        </w:rPr>
        <w:t>n</w:t>
      </w:r>
      <w:r w:rsidR="00281DA0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E17C88">
        <w:rPr>
          <w:rStyle w:val="etgHeaderContdSubject"/>
          <w:color w:val="auto"/>
          <w:sz w:val="22"/>
          <w:lang w:val="de-CH"/>
        </w:rPr>
        <w:t>E</w:t>
      </w:r>
      <w:r w:rsidR="00281DA0" w:rsidRPr="00743A83">
        <w:rPr>
          <w:rStyle w:val="etgHeaderContdSubject"/>
          <w:color w:val="auto"/>
          <w:sz w:val="22"/>
          <w:lang w:val="de-CH"/>
        </w:rPr>
        <w:t>i</w:t>
      </w:r>
      <w:r w:rsidR="00281DA0" w:rsidRPr="00743A83">
        <w:rPr>
          <w:rStyle w:val="etgHeaderContdSubject"/>
          <w:color w:val="auto"/>
          <w:sz w:val="22"/>
          <w:lang w:val="de-CH"/>
        </w:rPr>
        <w:t>n</w:t>
      </w:r>
      <w:r w:rsidR="00281DA0" w:rsidRPr="00743A83">
        <w:rPr>
          <w:rStyle w:val="etgHeaderContdSubject"/>
          <w:color w:val="auto"/>
          <w:sz w:val="22"/>
          <w:lang w:val="de-CH"/>
        </w:rPr>
        <w:t>kommen</w:t>
      </w:r>
      <w:r w:rsidR="00E17C88">
        <w:rPr>
          <w:rStyle w:val="etgHeaderContdSubject"/>
          <w:color w:val="auto"/>
          <w:sz w:val="22"/>
          <w:lang w:val="de-CH"/>
        </w:rPr>
        <w:t>sniveau</w:t>
      </w:r>
      <w:r w:rsidR="00281DA0" w:rsidRPr="00743A83">
        <w:rPr>
          <w:rStyle w:val="etgHeaderContdSubject"/>
          <w:color w:val="auto"/>
          <w:sz w:val="22"/>
          <w:lang w:val="de-CH"/>
        </w:rPr>
        <w:t xml:space="preserve"> sowie </w:t>
      </w:r>
      <w:r>
        <w:rPr>
          <w:rStyle w:val="etgHeaderContdSubject"/>
          <w:color w:val="auto"/>
          <w:sz w:val="22"/>
          <w:lang w:val="de-CH"/>
        </w:rPr>
        <w:t>vom nach wie vo</w:t>
      </w:r>
      <w:r w:rsidR="00281DA0" w:rsidRPr="00743A83">
        <w:rPr>
          <w:rStyle w:val="etgHeaderContdSubject"/>
          <w:color w:val="auto"/>
          <w:sz w:val="22"/>
          <w:lang w:val="de-CH"/>
        </w:rPr>
        <w:t>r stabilen Arbeitsmarkt.</w:t>
      </w:r>
    </w:p>
    <w:p w:rsidR="00E23179" w:rsidRDefault="00E23179" w:rsidP="001D67F7">
      <w:pPr>
        <w:pStyle w:val="etgLead"/>
        <w:spacing w:before="0" w:after="0" w:line="240" w:lineRule="auto"/>
        <w:rPr>
          <w:rStyle w:val="etgHeaderContdSubject"/>
          <w:b/>
          <w:color w:val="auto"/>
          <w:sz w:val="22"/>
          <w:lang w:val="de-CH"/>
        </w:rPr>
      </w:pPr>
    </w:p>
    <w:p w:rsidR="007D37A7" w:rsidRPr="00743A83" w:rsidRDefault="00FD6C4F" w:rsidP="001D67F7">
      <w:pPr>
        <w:pStyle w:val="etgLead"/>
        <w:spacing w:before="0" w:after="0" w:line="240" w:lineRule="auto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b/>
          <w:color w:val="auto"/>
          <w:sz w:val="22"/>
          <w:lang w:val="de-CH"/>
        </w:rPr>
        <w:t>U</w:t>
      </w:r>
      <w:r w:rsidR="00793668" w:rsidRPr="00743A83">
        <w:rPr>
          <w:rStyle w:val="etgHeaderContdSubject"/>
          <w:b/>
          <w:color w:val="auto"/>
          <w:sz w:val="22"/>
          <w:lang w:val="de-CH"/>
        </w:rPr>
        <w:t>nterschiedliche Entwicklung der Top-10-Marken</w:t>
      </w:r>
      <w:r w:rsidR="00A52BDB" w:rsidRPr="00743A83">
        <w:rPr>
          <w:rStyle w:val="etgHeaderContdSubject"/>
          <w:b/>
          <w:color w:val="auto"/>
          <w:sz w:val="22"/>
          <w:lang w:val="de-CH"/>
        </w:rPr>
        <w:t xml:space="preserve"> </w:t>
      </w:r>
    </w:p>
    <w:p w:rsidR="00700469" w:rsidRPr="00743A83" w:rsidRDefault="001A2AF5" w:rsidP="007D37A7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color w:val="auto"/>
          <w:sz w:val="22"/>
          <w:lang w:val="de-CH"/>
        </w:rPr>
        <w:t xml:space="preserve">Seit Jahr und Tag dominieren Fahrzeuge mit </w:t>
      </w:r>
      <w:r w:rsidR="00994FBC">
        <w:rPr>
          <w:rStyle w:val="etgHeaderContdSubject"/>
          <w:color w:val="auto"/>
          <w:sz w:val="22"/>
          <w:lang w:val="de-CH"/>
        </w:rPr>
        <w:t xml:space="preserve">einem </w:t>
      </w:r>
      <w:r w:rsidRPr="00743A83">
        <w:rPr>
          <w:rStyle w:val="etgHeaderContdSubject"/>
          <w:color w:val="auto"/>
          <w:sz w:val="22"/>
          <w:lang w:val="de-CH"/>
        </w:rPr>
        <w:t>deutsche</w:t>
      </w:r>
      <w:r w:rsidR="00994FBC">
        <w:rPr>
          <w:rStyle w:val="etgHeaderContdSubject"/>
          <w:color w:val="auto"/>
          <w:sz w:val="22"/>
          <w:lang w:val="de-CH"/>
        </w:rPr>
        <w:t>n</w:t>
      </w:r>
      <w:r w:rsidRPr="00743A83">
        <w:rPr>
          <w:rStyle w:val="etgHeaderContdSubject"/>
          <w:color w:val="auto"/>
          <w:sz w:val="22"/>
          <w:lang w:val="de-CH"/>
        </w:rPr>
        <w:t xml:space="preserve"> Markenemble</w:t>
      </w:r>
      <w:r w:rsidR="00E17C88">
        <w:rPr>
          <w:rStyle w:val="etgHeaderContdSubject"/>
          <w:color w:val="auto"/>
          <w:sz w:val="22"/>
          <w:lang w:val="de-CH"/>
        </w:rPr>
        <w:t>m</w:t>
      </w:r>
      <w:r w:rsidR="007B252D" w:rsidRPr="00743A83">
        <w:rPr>
          <w:rStyle w:val="etgHeaderContdSubject"/>
          <w:color w:val="auto"/>
          <w:sz w:val="22"/>
          <w:lang w:val="de-CH"/>
        </w:rPr>
        <w:t xml:space="preserve"> die Top-10-Rangliste der meist verkauften Neuwagen: Ihr </w:t>
      </w:r>
      <w:r w:rsidR="00700469" w:rsidRPr="00743A83">
        <w:rPr>
          <w:rStyle w:val="etgHeaderContdSubject"/>
          <w:color w:val="auto"/>
          <w:sz w:val="22"/>
          <w:lang w:val="de-CH"/>
        </w:rPr>
        <w:t>A</w:t>
      </w:r>
      <w:r w:rsidR="007B252D" w:rsidRPr="00743A83">
        <w:rPr>
          <w:rStyle w:val="etgHeaderContdSubject"/>
          <w:color w:val="auto"/>
          <w:sz w:val="22"/>
          <w:lang w:val="de-CH"/>
        </w:rPr>
        <w:t xml:space="preserve">nteil </w:t>
      </w:r>
      <w:r w:rsidR="00A92FD4" w:rsidRPr="00743A83">
        <w:rPr>
          <w:rStyle w:val="etgHeaderContdSubject"/>
          <w:color w:val="auto"/>
          <w:sz w:val="22"/>
          <w:lang w:val="de-CH"/>
        </w:rPr>
        <w:t>betrug</w:t>
      </w:r>
      <w:r w:rsidR="007B252D" w:rsidRPr="00743A83">
        <w:rPr>
          <w:rStyle w:val="etgHeaderContdSubject"/>
          <w:color w:val="auto"/>
          <w:sz w:val="22"/>
          <w:lang w:val="de-CH"/>
        </w:rPr>
        <w:t xml:space="preserve"> </w:t>
      </w:r>
      <w:r w:rsidRPr="00743A83">
        <w:rPr>
          <w:rStyle w:val="etgHeaderContdSubject"/>
          <w:color w:val="auto"/>
          <w:sz w:val="22"/>
          <w:lang w:val="de-CH"/>
        </w:rPr>
        <w:t xml:space="preserve">im ersten Halbjahr </w:t>
      </w:r>
      <w:r w:rsidR="00700469" w:rsidRPr="00743A83">
        <w:rPr>
          <w:rStyle w:val="etgHeaderContdSubject"/>
          <w:color w:val="auto"/>
          <w:sz w:val="22"/>
          <w:lang w:val="de-CH"/>
        </w:rPr>
        <w:t>62,3</w:t>
      </w:r>
      <w:r w:rsidR="007B252D" w:rsidRPr="00743A83">
        <w:rPr>
          <w:rStyle w:val="etgHeaderContdSubject"/>
          <w:color w:val="auto"/>
          <w:sz w:val="22"/>
          <w:lang w:val="de-CH"/>
        </w:rPr>
        <w:t>% (</w:t>
      </w:r>
      <w:r w:rsidR="00F53718" w:rsidRPr="00743A83">
        <w:rPr>
          <w:rStyle w:val="etgHeaderContdSubject"/>
          <w:color w:val="auto"/>
          <w:sz w:val="22"/>
          <w:lang w:val="de-CH"/>
        </w:rPr>
        <w:t>1.</w:t>
      </w:r>
      <w:r w:rsidR="00F53718">
        <w:rPr>
          <w:rStyle w:val="etgHeaderContdSubject"/>
          <w:color w:val="auto"/>
          <w:sz w:val="22"/>
          <w:lang w:val="de-CH"/>
        </w:rPr>
        <w:t> </w:t>
      </w:r>
      <w:r w:rsidR="00F53718" w:rsidRPr="00743A83">
        <w:rPr>
          <w:rStyle w:val="etgHeaderContdSubject"/>
          <w:color w:val="auto"/>
          <w:sz w:val="22"/>
          <w:lang w:val="de-CH"/>
        </w:rPr>
        <w:t>HJ</w:t>
      </w:r>
      <w:r w:rsidR="007B252D" w:rsidRPr="00743A83">
        <w:rPr>
          <w:rStyle w:val="etgHeaderContdSubject"/>
          <w:color w:val="auto"/>
          <w:sz w:val="22"/>
          <w:lang w:val="de-CH"/>
        </w:rPr>
        <w:t>/</w:t>
      </w:r>
      <w:r w:rsidRPr="00743A83">
        <w:rPr>
          <w:rStyle w:val="etgHeaderContdSubject"/>
          <w:color w:val="auto"/>
          <w:sz w:val="22"/>
          <w:lang w:val="de-CH"/>
        </w:rPr>
        <w:t>20</w:t>
      </w:r>
      <w:r w:rsidR="007B252D" w:rsidRPr="00743A83">
        <w:rPr>
          <w:rStyle w:val="etgHeaderContdSubject"/>
          <w:color w:val="auto"/>
          <w:sz w:val="22"/>
          <w:lang w:val="de-CH"/>
        </w:rPr>
        <w:t xml:space="preserve">13: </w:t>
      </w:r>
      <w:r w:rsidR="00700469" w:rsidRPr="00743A83">
        <w:rPr>
          <w:rStyle w:val="etgHeaderContdSubject"/>
          <w:color w:val="auto"/>
          <w:sz w:val="22"/>
          <w:lang w:val="de-CH"/>
        </w:rPr>
        <w:t>61,3</w:t>
      </w:r>
      <w:r w:rsidR="007B252D" w:rsidRPr="00743A83">
        <w:rPr>
          <w:rStyle w:val="etgHeaderContdSubject"/>
          <w:color w:val="auto"/>
          <w:sz w:val="22"/>
          <w:lang w:val="de-CH"/>
        </w:rPr>
        <w:t>%)</w:t>
      </w:r>
      <w:r w:rsidR="00D42D78" w:rsidRPr="00743A83">
        <w:rPr>
          <w:rStyle w:val="etgHeaderContdSubject"/>
          <w:color w:val="auto"/>
          <w:sz w:val="22"/>
          <w:lang w:val="de-CH"/>
        </w:rPr>
        <w:t xml:space="preserve">. 80% </w:t>
      </w:r>
      <w:r w:rsidR="00994FBC">
        <w:rPr>
          <w:rStyle w:val="etgHeaderContdSubject"/>
          <w:color w:val="auto"/>
          <w:sz w:val="22"/>
          <w:lang w:val="de-CH"/>
        </w:rPr>
        <w:t>dieser</w:t>
      </w:r>
      <w:r w:rsidR="00D42D78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702EF2">
        <w:rPr>
          <w:rStyle w:val="etgHeaderContdSubject"/>
          <w:color w:val="auto"/>
          <w:sz w:val="22"/>
          <w:lang w:val="de-CH"/>
        </w:rPr>
        <w:t>Personenwagen stammen</w:t>
      </w:r>
      <w:r w:rsidR="00D42D78" w:rsidRPr="00743A83">
        <w:rPr>
          <w:rStyle w:val="etgHeaderContdSubject"/>
          <w:color w:val="auto"/>
          <w:sz w:val="22"/>
          <w:lang w:val="de-CH"/>
        </w:rPr>
        <w:t xml:space="preserve"> aus dem </w:t>
      </w:r>
      <w:r w:rsidR="00E17C88">
        <w:rPr>
          <w:rStyle w:val="etgHeaderContdSubject"/>
          <w:color w:val="auto"/>
          <w:sz w:val="22"/>
          <w:lang w:val="de-CH"/>
        </w:rPr>
        <w:t xml:space="preserve">Markenkonglomerat des </w:t>
      </w:r>
      <w:r w:rsidR="00D42D78" w:rsidRPr="00743A83">
        <w:rPr>
          <w:rStyle w:val="etgHeaderContdSubject"/>
          <w:color w:val="auto"/>
          <w:sz w:val="22"/>
          <w:lang w:val="de-CH"/>
        </w:rPr>
        <w:t>Volkswagenkonzern</w:t>
      </w:r>
      <w:r w:rsidR="00E17C88">
        <w:rPr>
          <w:rStyle w:val="etgHeaderContdSubject"/>
          <w:color w:val="auto"/>
          <w:sz w:val="22"/>
          <w:lang w:val="de-CH"/>
        </w:rPr>
        <w:t>s</w:t>
      </w:r>
      <w:r w:rsidR="00D42D78" w:rsidRPr="00743A83">
        <w:rPr>
          <w:rStyle w:val="etgHeaderContdSubject"/>
          <w:color w:val="auto"/>
          <w:sz w:val="22"/>
          <w:lang w:val="de-CH"/>
        </w:rPr>
        <w:t>. Letztere</w:t>
      </w:r>
      <w:r w:rsidR="00E17C88">
        <w:rPr>
          <w:rStyle w:val="etgHeaderContdSubject"/>
          <w:color w:val="auto"/>
          <w:sz w:val="22"/>
          <w:lang w:val="de-CH"/>
        </w:rPr>
        <w:t>r</w:t>
      </w:r>
      <w:r w:rsidR="00D42D78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E17C88">
        <w:rPr>
          <w:rStyle w:val="etgHeaderContdSubject"/>
          <w:color w:val="auto"/>
          <w:sz w:val="22"/>
          <w:lang w:val="de-CH"/>
        </w:rPr>
        <w:t>ist</w:t>
      </w:r>
      <w:r w:rsidR="00D42D78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700469" w:rsidRPr="00743A83">
        <w:rPr>
          <w:rStyle w:val="etgHeaderContdSubject"/>
          <w:color w:val="auto"/>
          <w:sz w:val="22"/>
          <w:lang w:val="de-CH"/>
        </w:rPr>
        <w:t xml:space="preserve">mit </w:t>
      </w:r>
      <w:r w:rsidR="005D78DB" w:rsidRPr="00743A83">
        <w:rPr>
          <w:rStyle w:val="etgHeaderContdSubject"/>
          <w:color w:val="auto"/>
          <w:sz w:val="22"/>
          <w:lang w:val="de-CH"/>
        </w:rPr>
        <w:t xml:space="preserve">einem Marktanteil von </w:t>
      </w:r>
      <w:r w:rsidR="00700469" w:rsidRPr="00743A83">
        <w:rPr>
          <w:rStyle w:val="etgHeaderContdSubject"/>
          <w:color w:val="auto"/>
          <w:sz w:val="22"/>
          <w:lang w:val="de-CH"/>
        </w:rPr>
        <w:t>29,3% (1.</w:t>
      </w:r>
      <w:r w:rsidR="00D6172D">
        <w:rPr>
          <w:rStyle w:val="etgHeaderContdSubject"/>
          <w:color w:val="auto"/>
          <w:sz w:val="22"/>
          <w:lang w:val="de-CH"/>
        </w:rPr>
        <w:t> </w:t>
      </w:r>
      <w:r w:rsidR="00700469" w:rsidRPr="00743A83">
        <w:rPr>
          <w:rStyle w:val="etgHeaderContdSubject"/>
          <w:color w:val="auto"/>
          <w:sz w:val="22"/>
          <w:lang w:val="de-CH"/>
        </w:rPr>
        <w:t xml:space="preserve">HJ/2013: 28,2%) auch mit Blick auf den </w:t>
      </w:r>
      <w:r w:rsidR="00A92FD4" w:rsidRPr="00743A83">
        <w:rPr>
          <w:rStyle w:val="etgHeaderContdSubject"/>
          <w:color w:val="auto"/>
          <w:sz w:val="22"/>
          <w:lang w:val="de-CH"/>
        </w:rPr>
        <w:t xml:space="preserve">Gesamtmarkt </w:t>
      </w:r>
      <w:r w:rsidR="00700469" w:rsidRPr="00743A83">
        <w:rPr>
          <w:rStyle w:val="etgHeaderContdSubject"/>
          <w:color w:val="auto"/>
          <w:sz w:val="22"/>
          <w:lang w:val="de-CH"/>
        </w:rPr>
        <w:t>mit Abstand am häufigsten vertreten</w:t>
      </w:r>
      <w:r w:rsidR="00D6172D">
        <w:rPr>
          <w:rStyle w:val="etgHeaderContdSubject"/>
          <w:color w:val="auto"/>
          <w:sz w:val="22"/>
          <w:lang w:val="de-CH"/>
        </w:rPr>
        <w:t>.</w:t>
      </w:r>
    </w:p>
    <w:p w:rsidR="001A2AF5" w:rsidRDefault="00A92FD4" w:rsidP="007D37A7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color w:val="auto"/>
          <w:sz w:val="22"/>
          <w:lang w:val="de-CH"/>
        </w:rPr>
        <w:lastRenderedPageBreak/>
        <w:t>Innerhalb der Top-10-Marken hat sich der Anteil neu immatrikulierter Personenwagen fra</w:t>
      </w:r>
      <w:r w:rsidRPr="00743A83">
        <w:rPr>
          <w:rStyle w:val="etgHeaderContdSubject"/>
          <w:color w:val="auto"/>
          <w:sz w:val="22"/>
          <w:lang w:val="de-CH"/>
        </w:rPr>
        <w:t>n</w:t>
      </w:r>
      <w:r w:rsidRPr="00743A83">
        <w:rPr>
          <w:rStyle w:val="etgHeaderContdSubject"/>
          <w:color w:val="auto"/>
          <w:sz w:val="22"/>
          <w:lang w:val="de-CH"/>
        </w:rPr>
        <w:t xml:space="preserve">zösischer Herkunft </w:t>
      </w:r>
      <w:r w:rsidR="00E17C88">
        <w:rPr>
          <w:rStyle w:val="etgHeaderContdSubject"/>
          <w:color w:val="auto"/>
          <w:sz w:val="22"/>
          <w:lang w:val="de-CH"/>
        </w:rPr>
        <w:t xml:space="preserve">von Januar bis Juni </w:t>
      </w:r>
      <w:r w:rsidRPr="00743A83">
        <w:rPr>
          <w:rStyle w:val="etgHeaderContdSubject"/>
          <w:color w:val="auto"/>
          <w:sz w:val="22"/>
          <w:lang w:val="de-CH"/>
        </w:rPr>
        <w:t>mit 6,6% praktisch halbiert</w:t>
      </w:r>
      <w:r w:rsidR="00E17C88">
        <w:rPr>
          <w:rStyle w:val="etgHeaderContdSubject"/>
          <w:color w:val="auto"/>
          <w:sz w:val="22"/>
          <w:lang w:val="de-CH"/>
        </w:rPr>
        <w:t xml:space="preserve"> </w:t>
      </w:r>
      <w:r w:rsidR="00E17C88" w:rsidRPr="00743A83">
        <w:rPr>
          <w:rStyle w:val="etgHeaderContdSubject"/>
          <w:color w:val="auto"/>
          <w:sz w:val="22"/>
          <w:lang w:val="de-CH"/>
        </w:rPr>
        <w:t>(</w:t>
      </w:r>
      <w:r w:rsidR="00E17C88">
        <w:rPr>
          <w:rStyle w:val="etgHeaderContdSubject"/>
          <w:color w:val="auto"/>
          <w:sz w:val="22"/>
          <w:lang w:val="de-CH"/>
        </w:rPr>
        <w:t>1. HJ</w:t>
      </w:r>
      <w:r w:rsidR="00E17C88" w:rsidRPr="00743A83">
        <w:rPr>
          <w:rStyle w:val="etgHeaderContdSubject"/>
          <w:color w:val="auto"/>
          <w:sz w:val="22"/>
          <w:lang w:val="de-CH"/>
        </w:rPr>
        <w:t>/2013: 12,2%)</w:t>
      </w:r>
      <w:r w:rsidRPr="00743A83">
        <w:rPr>
          <w:rStyle w:val="etgHeaderContdSubject"/>
          <w:color w:val="auto"/>
          <w:sz w:val="22"/>
          <w:lang w:val="de-CH"/>
        </w:rPr>
        <w:t xml:space="preserve">, da Peugeot seinen ehemals 10. Rang </w:t>
      </w:r>
      <w:r w:rsidR="00944593" w:rsidRPr="00743A83">
        <w:rPr>
          <w:rStyle w:val="etgHeaderContdSubject"/>
          <w:color w:val="auto"/>
          <w:sz w:val="22"/>
          <w:lang w:val="de-CH"/>
        </w:rPr>
        <w:t xml:space="preserve">wegen einer Differenz von einem einzigen Fahrzeug an den </w:t>
      </w:r>
      <w:r w:rsidRPr="00743A83">
        <w:rPr>
          <w:rStyle w:val="etgHeaderContdSubject"/>
          <w:color w:val="auto"/>
          <w:sz w:val="22"/>
          <w:lang w:val="de-CH"/>
        </w:rPr>
        <w:t>südkoreanisc</w:t>
      </w:r>
      <w:r w:rsidR="00D6172D">
        <w:rPr>
          <w:rStyle w:val="etgHeaderContdSubject"/>
          <w:color w:val="auto"/>
          <w:sz w:val="22"/>
          <w:lang w:val="de-CH"/>
        </w:rPr>
        <w:t xml:space="preserve">hen Automobilhersteller Hyundai </w:t>
      </w:r>
      <w:r w:rsidR="00944593" w:rsidRPr="00743A83">
        <w:rPr>
          <w:rStyle w:val="etgHeaderContdSubject"/>
          <w:color w:val="auto"/>
          <w:sz w:val="22"/>
          <w:lang w:val="de-CH"/>
        </w:rPr>
        <w:t>abtreten</w:t>
      </w:r>
      <w:r w:rsidRPr="00743A83">
        <w:rPr>
          <w:rStyle w:val="etgHeaderContdSubject"/>
          <w:color w:val="auto"/>
          <w:sz w:val="22"/>
          <w:lang w:val="de-CH"/>
        </w:rPr>
        <w:t xml:space="preserve"> musste.</w:t>
      </w:r>
      <w:r w:rsidR="00944593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793668" w:rsidRPr="00743A83">
        <w:rPr>
          <w:rStyle w:val="etgHeaderContdSubject"/>
          <w:color w:val="auto"/>
          <w:sz w:val="22"/>
          <w:lang w:val="de-CH"/>
        </w:rPr>
        <w:t xml:space="preserve">Dem Platztausch </w:t>
      </w:r>
      <w:r w:rsidR="007C1D08" w:rsidRPr="00743A83">
        <w:rPr>
          <w:rStyle w:val="etgHeaderContdSubject"/>
          <w:color w:val="auto"/>
          <w:sz w:val="22"/>
          <w:lang w:val="de-CH"/>
        </w:rPr>
        <w:t>ist</w:t>
      </w:r>
      <w:r w:rsidR="00944593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700469" w:rsidRPr="00743A83">
        <w:rPr>
          <w:rStyle w:val="etgHeaderContdSubject"/>
          <w:color w:val="auto"/>
          <w:sz w:val="22"/>
          <w:lang w:val="de-CH"/>
        </w:rPr>
        <w:t xml:space="preserve">von Januar bis Juni </w:t>
      </w:r>
      <w:r w:rsidR="00944593" w:rsidRPr="00743A83">
        <w:rPr>
          <w:rStyle w:val="etgHeaderContdSubject"/>
          <w:color w:val="auto"/>
          <w:sz w:val="22"/>
          <w:lang w:val="de-CH"/>
        </w:rPr>
        <w:t xml:space="preserve">allerdings </w:t>
      </w:r>
      <w:r w:rsidR="00700469" w:rsidRPr="00743A83">
        <w:rPr>
          <w:rStyle w:val="etgHeaderContdSubject"/>
          <w:color w:val="auto"/>
          <w:sz w:val="22"/>
          <w:lang w:val="de-CH"/>
        </w:rPr>
        <w:t xml:space="preserve">ein </w:t>
      </w:r>
      <w:r w:rsidR="00793668" w:rsidRPr="00743A83">
        <w:rPr>
          <w:rStyle w:val="etgHeaderContdSubject"/>
          <w:color w:val="auto"/>
          <w:sz w:val="22"/>
          <w:lang w:val="de-CH"/>
        </w:rPr>
        <w:t xml:space="preserve">deutliches </w:t>
      </w:r>
      <w:r w:rsidR="00944593" w:rsidRPr="00743A83">
        <w:rPr>
          <w:rStyle w:val="etgHeaderContdSubject"/>
          <w:color w:val="auto"/>
          <w:sz w:val="22"/>
          <w:lang w:val="de-CH"/>
        </w:rPr>
        <w:t xml:space="preserve">Verkaufsminus bei Peugeot </w:t>
      </w:r>
      <w:r w:rsidR="00793668" w:rsidRPr="00743A83">
        <w:rPr>
          <w:rStyle w:val="etgHeaderContdSubject"/>
          <w:color w:val="auto"/>
          <w:sz w:val="22"/>
          <w:lang w:val="de-CH"/>
        </w:rPr>
        <w:t>(-9,7%) sowie</w:t>
      </w:r>
      <w:r w:rsidR="00A05AD3" w:rsidRPr="00743A83">
        <w:rPr>
          <w:rStyle w:val="etgHeaderContdSubject"/>
          <w:color w:val="auto"/>
          <w:sz w:val="22"/>
          <w:lang w:val="de-CH"/>
        </w:rPr>
        <w:t xml:space="preserve"> ein</w:t>
      </w:r>
      <w:r w:rsidR="00944593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793668" w:rsidRPr="00743A83">
        <w:rPr>
          <w:rStyle w:val="etgHeaderContdSubject"/>
          <w:color w:val="auto"/>
          <w:sz w:val="22"/>
          <w:lang w:val="de-CH"/>
        </w:rPr>
        <w:t xml:space="preserve">ebenso deutliches </w:t>
      </w:r>
      <w:r w:rsidR="00944593" w:rsidRPr="00743A83">
        <w:rPr>
          <w:rStyle w:val="etgHeaderContdSubject"/>
          <w:color w:val="auto"/>
          <w:sz w:val="22"/>
          <w:lang w:val="de-CH"/>
        </w:rPr>
        <w:t xml:space="preserve">Verkaufsplus bei Hyundai </w:t>
      </w:r>
      <w:r w:rsidR="00700469" w:rsidRPr="00743A83">
        <w:rPr>
          <w:rStyle w:val="etgHeaderContdSubject"/>
          <w:color w:val="auto"/>
          <w:sz w:val="22"/>
          <w:lang w:val="de-CH"/>
        </w:rPr>
        <w:t>vorausgegangen.</w:t>
      </w:r>
      <w:r w:rsidR="00DC730D">
        <w:rPr>
          <w:rStyle w:val="etgHeaderContdSubject"/>
          <w:color w:val="auto"/>
          <w:sz w:val="22"/>
          <w:lang w:val="de-CH"/>
        </w:rPr>
        <w:t xml:space="preserve"> </w:t>
      </w:r>
      <w:r w:rsidR="00DC730D" w:rsidRPr="00743A83">
        <w:rPr>
          <w:rStyle w:val="etgHeaderContdSubject"/>
          <w:color w:val="auto"/>
          <w:sz w:val="22"/>
          <w:lang w:val="de-CH"/>
        </w:rPr>
        <w:t xml:space="preserve">Überhaupt entwickeln sich die Top-10-Marken </w:t>
      </w:r>
      <w:r w:rsidR="00DC730D">
        <w:rPr>
          <w:rStyle w:val="etgHeaderContdSubject"/>
          <w:color w:val="auto"/>
          <w:sz w:val="22"/>
          <w:lang w:val="de-CH"/>
        </w:rPr>
        <w:t xml:space="preserve">auffällig </w:t>
      </w:r>
      <w:r w:rsidR="00DC730D" w:rsidRPr="00743A83">
        <w:rPr>
          <w:rStyle w:val="etgHeaderContdSubject"/>
          <w:color w:val="auto"/>
          <w:sz w:val="22"/>
          <w:lang w:val="de-CH"/>
        </w:rPr>
        <w:t>unterschiedlich. Während Skoda (+15,8%) die Rangliste der aufstrebenden Marken vor Hyundai (+5,6%), Mercedes-Benz (+3,7%) und BMW (+1,4%) anführt, mussten Ford (-17,9%), Re</w:t>
      </w:r>
      <w:r w:rsidR="00DC730D">
        <w:rPr>
          <w:rStyle w:val="etgHeaderContdSubject"/>
          <w:color w:val="auto"/>
          <w:sz w:val="22"/>
          <w:lang w:val="de-CH"/>
        </w:rPr>
        <w:t xml:space="preserve">nault (-14,4%), Toyota </w:t>
      </w:r>
      <w:r w:rsidR="00DC730D" w:rsidRPr="00743A83">
        <w:rPr>
          <w:rStyle w:val="etgHeaderContdSubject"/>
          <w:color w:val="auto"/>
          <w:sz w:val="22"/>
          <w:lang w:val="de-CH"/>
        </w:rPr>
        <w:t>(-14,3%), Audi (-8,0%), Volks</w:t>
      </w:r>
      <w:r w:rsidR="00DC730D">
        <w:rPr>
          <w:rStyle w:val="etgHeaderContdSubject"/>
          <w:color w:val="auto"/>
          <w:sz w:val="22"/>
          <w:lang w:val="de-CH"/>
        </w:rPr>
        <w:softHyphen/>
      </w:r>
      <w:r w:rsidR="00DC730D" w:rsidRPr="00743A83">
        <w:rPr>
          <w:rStyle w:val="etgHeaderContdSubject"/>
          <w:color w:val="auto"/>
          <w:sz w:val="22"/>
          <w:lang w:val="de-CH"/>
        </w:rPr>
        <w:t>wagen (-4,9%) und Opel (-3,4%) zum Teil erhebliche Einbussen hinnehmen.</w:t>
      </w:r>
    </w:p>
    <w:p w:rsidR="00DF4FBC" w:rsidRDefault="00DF4FBC" w:rsidP="00DF4FBC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</w:p>
    <w:p w:rsidR="00DF4FBC" w:rsidRPr="00743A83" w:rsidRDefault="00DF4FBC" w:rsidP="00DF4FBC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color w:val="auto"/>
          <w:sz w:val="22"/>
          <w:lang w:val="de-CH"/>
        </w:rPr>
        <w:t xml:space="preserve">Urs Wernli, Zentralpräsident Auto Gewerbe Verband Schweiz (AGVS), </w:t>
      </w:r>
      <w:r>
        <w:rPr>
          <w:rStyle w:val="etgHeaderContdSubject"/>
          <w:color w:val="auto"/>
          <w:sz w:val="22"/>
          <w:lang w:val="de-CH"/>
        </w:rPr>
        <w:t>sieht die</w:t>
      </w:r>
      <w:r w:rsidRPr="00743A83">
        <w:rPr>
          <w:rStyle w:val="etgHeaderContdSubject"/>
          <w:color w:val="auto"/>
          <w:sz w:val="22"/>
          <w:lang w:val="de-CH"/>
        </w:rPr>
        <w:t xml:space="preserve"> Schweizer Garagisten </w:t>
      </w:r>
      <w:r>
        <w:rPr>
          <w:rStyle w:val="etgHeaderContdSubject"/>
          <w:color w:val="auto"/>
          <w:sz w:val="22"/>
          <w:lang w:val="de-CH"/>
        </w:rPr>
        <w:t xml:space="preserve">denn auch vor </w:t>
      </w:r>
      <w:r w:rsidRPr="00743A83">
        <w:rPr>
          <w:rStyle w:val="etgHeaderContdSubject"/>
          <w:color w:val="auto"/>
          <w:sz w:val="22"/>
          <w:lang w:val="de-CH"/>
        </w:rPr>
        <w:t>grosse</w:t>
      </w:r>
      <w:r>
        <w:rPr>
          <w:rStyle w:val="etgHeaderContdSubject"/>
          <w:color w:val="auto"/>
          <w:sz w:val="22"/>
          <w:lang w:val="de-CH"/>
        </w:rPr>
        <w:t>n</w:t>
      </w:r>
      <w:r w:rsidRPr="00743A83">
        <w:rPr>
          <w:rStyle w:val="etgHeaderContdSubject"/>
          <w:color w:val="auto"/>
          <w:sz w:val="22"/>
          <w:lang w:val="de-CH"/>
        </w:rPr>
        <w:t xml:space="preserve"> Herausforderungen: «</w:t>
      </w:r>
      <w:r w:rsidR="00F279DE">
        <w:rPr>
          <w:rStyle w:val="etgHeaderContdSubject"/>
          <w:color w:val="auto"/>
          <w:sz w:val="22"/>
          <w:lang w:val="de-CH"/>
        </w:rPr>
        <w:t>Neben dem anhaltend starken Wettbewerb schmälern die r</w:t>
      </w:r>
      <w:r w:rsidR="00E17C88">
        <w:rPr>
          <w:rStyle w:val="etgHeaderContdSubject"/>
          <w:color w:val="auto"/>
          <w:sz w:val="22"/>
          <w:lang w:val="de-CH"/>
        </w:rPr>
        <w:t>ückläufige</w:t>
      </w:r>
      <w:r w:rsidR="00F279DE">
        <w:rPr>
          <w:rStyle w:val="etgHeaderContdSubject"/>
          <w:color w:val="auto"/>
          <w:sz w:val="22"/>
          <w:lang w:val="de-CH"/>
        </w:rPr>
        <w:t>n</w:t>
      </w:r>
      <w:r w:rsidR="00E17C88">
        <w:rPr>
          <w:rStyle w:val="etgHeaderContdSubject"/>
          <w:color w:val="auto"/>
          <w:sz w:val="22"/>
          <w:lang w:val="de-CH"/>
        </w:rPr>
        <w:t xml:space="preserve"> Verkäufe, </w:t>
      </w:r>
      <w:r w:rsidRPr="00743A83">
        <w:rPr>
          <w:rStyle w:val="etgHeaderContdSubject"/>
          <w:color w:val="auto"/>
          <w:sz w:val="22"/>
          <w:lang w:val="de-CH"/>
        </w:rPr>
        <w:t xml:space="preserve"> die Brutto</w:t>
      </w:r>
      <w:r w:rsidR="00F279DE">
        <w:rPr>
          <w:rStyle w:val="etgHeaderContdSubject"/>
          <w:color w:val="auto"/>
          <w:sz w:val="22"/>
          <w:lang w:val="de-CH"/>
        </w:rPr>
        <w:t>erträge</w:t>
      </w:r>
      <w:r w:rsidRPr="00743A83">
        <w:rPr>
          <w:rStyle w:val="etgHeaderContdSubject"/>
          <w:color w:val="auto"/>
          <w:sz w:val="22"/>
          <w:lang w:val="de-CH"/>
        </w:rPr>
        <w:t xml:space="preserve"> der Garagenbetriebe</w:t>
      </w:r>
      <w:r w:rsidR="00F279DE">
        <w:rPr>
          <w:rStyle w:val="etgHeaderContdSubject"/>
          <w:color w:val="auto"/>
          <w:sz w:val="22"/>
          <w:lang w:val="de-CH"/>
        </w:rPr>
        <w:t xml:space="preserve"> zusätzlich </w:t>
      </w:r>
      <w:r w:rsidRPr="00743A83">
        <w:rPr>
          <w:rStyle w:val="etgHeaderContdSubject"/>
          <w:color w:val="auto"/>
          <w:sz w:val="22"/>
          <w:lang w:val="de-CH"/>
        </w:rPr>
        <w:t xml:space="preserve">. </w:t>
      </w:r>
      <w:r w:rsidR="00F279DE">
        <w:rPr>
          <w:rStyle w:val="etgHeaderContdSubject"/>
          <w:color w:val="auto"/>
          <w:sz w:val="22"/>
          <w:lang w:val="de-CH"/>
        </w:rPr>
        <w:t>Kundennäh</w:t>
      </w:r>
      <w:r w:rsidR="00A317F7">
        <w:rPr>
          <w:rStyle w:val="etgHeaderContdSubject"/>
          <w:color w:val="auto"/>
          <w:sz w:val="22"/>
          <w:lang w:val="de-CH"/>
        </w:rPr>
        <w:t>e, Kundenbindung, erstklassige Servicearbeit und  neue</w:t>
      </w:r>
      <w:r w:rsidR="00F279DE">
        <w:rPr>
          <w:rStyle w:val="etgHeaderContdSubject"/>
          <w:color w:val="auto"/>
          <w:sz w:val="22"/>
          <w:lang w:val="de-CH"/>
        </w:rPr>
        <w:t xml:space="preserve"> Dienstlei</w:t>
      </w:r>
      <w:r w:rsidR="00F279DE">
        <w:rPr>
          <w:rStyle w:val="etgHeaderContdSubject"/>
          <w:color w:val="auto"/>
          <w:sz w:val="22"/>
          <w:lang w:val="de-CH"/>
        </w:rPr>
        <w:t>s</w:t>
      </w:r>
      <w:r w:rsidR="00F279DE">
        <w:rPr>
          <w:rStyle w:val="etgHeaderContdSubject"/>
          <w:color w:val="auto"/>
          <w:sz w:val="22"/>
          <w:lang w:val="de-CH"/>
        </w:rPr>
        <w:t>tungen</w:t>
      </w:r>
      <w:r w:rsidR="00A317F7">
        <w:rPr>
          <w:rStyle w:val="etgHeaderContdSubject"/>
          <w:color w:val="auto"/>
          <w:sz w:val="22"/>
          <w:lang w:val="de-CH"/>
        </w:rPr>
        <w:t xml:space="preserve"> , wie zum Beispiel der Autoenergiecheck (AEC) werden zur Existenzsicherung immer wichtiger. </w:t>
      </w:r>
      <w:r w:rsidRPr="00743A83">
        <w:rPr>
          <w:rStyle w:val="etgHeaderContdSubject"/>
          <w:color w:val="auto"/>
          <w:sz w:val="22"/>
          <w:lang w:val="de-CH"/>
        </w:rPr>
        <w:t>».</w:t>
      </w:r>
    </w:p>
    <w:p w:rsidR="001A2AF5" w:rsidRPr="00743A83" w:rsidRDefault="001A2AF5" w:rsidP="007D37A7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</w:p>
    <w:p w:rsidR="002E4F58" w:rsidRPr="00743A83" w:rsidRDefault="007D37A7" w:rsidP="00153983">
      <w:pPr>
        <w:spacing w:before="60" w:after="120" w:line="240" w:lineRule="auto"/>
        <w:ind w:right="851"/>
        <w:rPr>
          <w:rFonts w:ascii="Arial" w:eastAsia="Times New Roman" w:hAnsi="Arial" w:cs="Arial"/>
          <w:sz w:val="16"/>
          <w:szCs w:val="16"/>
          <w:lang w:val="de-CH" w:eastAsia="de-CH"/>
        </w:rPr>
      </w:pPr>
      <w:r w:rsidRPr="00743A83">
        <w:rPr>
          <w:rFonts w:ascii="Arial" w:eastAsia="Times New Roman" w:hAnsi="Arial" w:cs="Arial"/>
          <w:b/>
          <w:snapToGrid w:val="0"/>
          <w:szCs w:val="20"/>
          <w:lang w:val="de-CH" w:eastAsia="de-DE"/>
        </w:rPr>
        <w:t>Top-10-Marken im Neu- und Gebrauchtwagenmarkt</w:t>
      </w:r>
      <w:r w:rsidR="002E4F58" w:rsidRPr="00743A83">
        <w:rPr>
          <w:rFonts w:ascii="Arial" w:eastAsia="Times New Roman" w:hAnsi="Arial" w:cs="Arial"/>
          <w:b/>
          <w:snapToGrid w:val="0"/>
          <w:szCs w:val="20"/>
          <w:lang w:val="de-CH" w:eastAsia="de-DE"/>
        </w:rPr>
        <w:br/>
      </w:r>
      <w:r w:rsidR="002E4F58" w:rsidRPr="00743A83">
        <w:rPr>
          <w:rFonts w:ascii="Arial" w:eastAsia="Times New Roman" w:hAnsi="Arial" w:cs="Arial"/>
          <w:sz w:val="16"/>
          <w:szCs w:val="16"/>
          <w:lang w:val="de-CH" w:eastAsia="de-CH"/>
        </w:rPr>
        <w:t xml:space="preserve">Rangierung </w:t>
      </w:r>
      <w:r w:rsidR="00D6172D">
        <w:rPr>
          <w:rFonts w:ascii="Arial" w:eastAsia="Times New Roman" w:hAnsi="Arial" w:cs="Arial"/>
          <w:sz w:val="16"/>
          <w:szCs w:val="16"/>
          <w:lang w:val="de-CH" w:eastAsia="de-CH"/>
        </w:rPr>
        <w:t>1. HJ</w:t>
      </w:r>
      <w:r w:rsidR="00A52BDB" w:rsidRPr="00743A83">
        <w:rPr>
          <w:rFonts w:ascii="Arial" w:eastAsia="Times New Roman" w:hAnsi="Arial" w:cs="Arial"/>
          <w:sz w:val="16"/>
          <w:szCs w:val="16"/>
          <w:lang w:val="de-CH" w:eastAsia="de-CH"/>
        </w:rPr>
        <w:t>/</w:t>
      </w:r>
      <w:r w:rsidR="001A0A16" w:rsidRPr="00743A83">
        <w:rPr>
          <w:rFonts w:ascii="Arial" w:eastAsia="Times New Roman" w:hAnsi="Arial" w:cs="Arial"/>
          <w:sz w:val="16"/>
          <w:szCs w:val="16"/>
          <w:lang w:val="de-CH" w:eastAsia="de-CH"/>
        </w:rPr>
        <w:t>201</w:t>
      </w:r>
      <w:r w:rsidR="00A52BDB" w:rsidRPr="00743A83">
        <w:rPr>
          <w:rFonts w:ascii="Arial" w:eastAsia="Times New Roman" w:hAnsi="Arial" w:cs="Arial"/>
          <w:sz w:val="16"/>
          <w:szCs w:val="16"/>
          <w:lang w:val="de-CH" w:eastAsia="de-CH"/>
        </w:rPr>
        <w:t>3</w:t>
      </w:r>
      <w:r w:rsidR="002E4F58" w:rsidRPr="00743A83">
        <w:rPr>
          <w:rFonts w:ascii="Arial" w:eastAsia="Times New Roman" w:hAnsi="Arial" w:cs="Arial"/>
          <w:sz w:val="16"/>
          <w:szCs w:val="16"/>
          <w:lang w:val="de-CH" w:eastAsia="de-CH"/>
        </w:rPr>
        <w:t xml:space="preserve"> in Klammern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552"/>
        <w:gridCol w:w="1418"/>
        <w:gridCol w:w="2552"/>
        <w:gridCol w:w="1418"/>
      </w:tblGrid>
      <w:tr w:rsidR="005D0FD0" w:rsidRPr="00743A83" w:rsidTr="005D0FD0">
        <w:trPr>
          <w:trHeight w:val="284"/>
        </w:trPr>
        <w:tc>
          <w:tcPr>
            <w:tcW w:w="87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D37A7" w:rsidRPr="00743A83" w:rsidRDefault="007D37A7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Rang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shd w:val="clear" w:color="auto" w:fill="D9D9D9"/>
            <w:vAlign w:val="center"/>
          </w:tcPr>
          <w:p w:rsidR="007D37A7" w:rsidRPr="00743A83" w:rsidRDefault="007D37A7" w:rsidP="00DF5B7F">
            <w:pPr>
              <w:spacing w:after="0" w:line="240" w:lineRule="atLeast"/>
              <w:ind w:left="82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 xml:space="preserve">Neuwagen </w:t>
            </w:r>
            <w:r w:rsidR="00D6172D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1. HJ</w:t>
            </w:r>
            <w:r w:rsidR="00A52BDB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/14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shd w:val="clear" w:color="auto" w:fill="D9D9D9"/>
            <w:vAlign w:val="center"/>
          </w:tcPr>
          <w:p w:rsidR="007D37A7" w:rsidRPr="00743A83" w:rsidRDefault="007D37A7" w:rsidP="007D37A7">
            <w:pPr>
              <w:spacing w:after="0" w:line="240" w:lineRule="atLeast"/>
              <w:ind w:left="72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Marktanteil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shd w:val="clear" w:color="auto" w:fill="D9D9D9"/>
            <w:vAlign w:val="center"/>
          </w:tcPr>
          <w:p w:rsidR="007D37A7" w:rsidRPr="00743A83" w:rsidRDefault="007D37A7" w:rsidP="00DF5B7F">
            <w:pPr>
              <w:spacing w:after="0" w:line="240" w:lineRule="atLeast"/>
              <w:ind w:left="41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 xml:space="preserve">Gebrauchtwagen </w:t>
            </w:r>
            <w:r w:rsidR="00D6172D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1. HJ</w:t>
            </w:r>
            <w:r w:rsidR="00A52BDB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/14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shd w:val="clear" w:color="auto" w:fill="D9D9D9"/>
            <w:vAlign w:val="center"/>
          </w:tcPr>
          <w:p w:rsidR="007D37A7" w:rsidRPr="00743A83" w:rsidRDefault="007D37A7" w:rsidP="005D0FD0">
            <w:pPr>
              <w:spacing w:after="0" w:line="240" w:lineRule="atLeast"/>
              <w:ind w:left="72" w:right="101"/>
              <w:jc w:val="center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Marktanteil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1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1A0A16" w:rsidP="00E63034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Volkswagen (1)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12.4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1A0A16" w:rsidP="00E63034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Volkswagen (1)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1A0A16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13.</w:t>
            </w:r>
            <w:r w:rsidR="005D0FD0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</w:t>
            </w: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832845" w:rsidP="005D0FD0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 xml:space="preserve">BMW </w:t>
            </w:r>
            <w:r w:rsidR="001A0A16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(</w:t>
            </w:r>
            <w:r w:rsidR="005D0FD0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3</w:t>
            </w:r>
            <w:r w:rsidR="001A0A16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1A0A16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6.</w:t>
            </w:r>
            <w:r w:rsidR="00832845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9</w:t>
            </w: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1A0A16" w:rsidP="005D0FD0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Audi (</w:t>
            </w:r>
            <w:r w:rsidR="005D0FD0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2</w:t>
            </w: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1A0A16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7.5%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832845" w:rsidP="00832845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Skoda</w:t>
            </w:r>
            <w:r w:rsidR="001A0A16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 xml:space="preserve"> (</w:t>
            </w:r>
            <w:r w:rsidR="005D0FD0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5</w:t>
            </w:r>
            <w:r w:rsidR="001A0A16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1A0A16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6.</w:t>
            </w:r>
            <w:r w:rsidR="005D0FD0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</w:t>
            </w: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1A0A16" w:rsidP="00E63034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Opel (</w:t>
            </w:r>
            <w:r w:rsidR="005D0FD0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3</w:t>
            </w: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220937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7.0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4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832845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Audi (2)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832845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.</w:t>
            </w:r>
            <w:r w:rsidR="005D0FD0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4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1A0A16" w:rsidP="00E63034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BMW (</w:t>
            </w:r>
            <w:r w:rsidR="002E720D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4</w:t>
            </w: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6.8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832845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Mercedes-Benz (4)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6.1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Mercedes-Benz (6)</w:t>
            </w:r>
          </w:p>
        </w:tc>
        <w:tc>
          <w:tcPr>
            <w:tcW w:w="1418" w:type="dxa"/>
            <w:tcBorders>
              <w:left w:val="single" w:sz="4" w:space="0" w:color="A6A6A6"/>
              <w:right w:val="single" w:sz="12" w:space="0" w:color="auto"/>
            </w:tcBorders>
            <w:vAlign w:val="center"/>
          </w:tcPr>
          <w:p w:rsidR="001A0A16" w:rsidRPr="00743A83" w:rsidRDefault="001A0A16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5.</w:t>
            </w:r>
            <w:r w:rsidR="005D0FD0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8</w:t>
            </w: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832845" w:rsidP="005D0FD0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 xml:space="preserve">Opel </w:t>
            </w:r>
            <w:r w:rsidR="001A0A16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(</w:t>
            </w:r>
            <w:r w:rsidR="005D0FD0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7</w:t>
            </w:r>
            <w:r w:rsidR="001A0A16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4.9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E63034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Renault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5.4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832845" w:rsidP="005D0FD0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Ford</w:t>
            </w:r>
            <w:r w:rsidR="001A0A16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 xml:space="preserve"> (</w:t>
            </w:r>
            <w:r w:rsidR="005D0FD0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6</w:t>
            </w:r>
            <w:r w:rsidR="001A0A16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4.3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1A0A16" w:rsidP="005D0FD0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Peugeot (</w:t>
            </w:r>
            <w:r w:rsidR="005D0FD0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7</w:t>
            </w: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4.9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Renault 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832845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3.9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1A0A16" w:rsidP="00E63034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Ford (</w:t>
            </w:r>
            <w:r w:rsidR="005D0FD0"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8</w:t>
            </w: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4.6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832845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Toyota 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832845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3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.</w:t>
            </w:r>
            <w:r w:rsidR="005D0FD0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7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Fiat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4.0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1A0A16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220937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Hyundai (-)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3.7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1A0A16" w:rsidRPr="00743A83" w:rsidRDefault="005D0FD0" w:rsidP="00E63034">
            <w:pPr>
              <w:spacing w:after="0" w:line="240" w:lineRule="atLeast"/>
              <w:ind w:left="55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Toyota 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1A0A16" w:rsidRPr="00743A83" w:rsidRDefault="005D0FD0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3.9</w:t>
            </w:r>
            <w:r w:rsidR="001A0A16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  <w:tr w:rsidR="005D0FD0" w:rsidRPr="00743A83" w:rsidTr="005D0FD0">
        <w:trPr>
          <w:trHeight w:val="284"/>
        </w:trPr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4F58" w:rsidRPr="00743A83" w:rsidRDefault="002E4F58" w:rsidP="007D37A7">
            <w:pPr>
              <w:spacing w:after="0" w:line="240" w:lineRule="atLeast"/>
              <w:ind w:left="-70"/>
              <w:jc w:val="center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E4F58" w:rsidRPr="00743A83" w:rsidRDefault="002E4F58" w:rsidP="0062339E">
            <w:pPr>
              <w:spacing w:after="0" w:line="240" w:lineRule="atLeast"/>
              <w:ind w:left="88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de-CH" w:eastAsia="de-DE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2E4F58" w:rsidRPr="00743A83" w:rsidRDefault="005D0FD0" w:rsidP="005D0FD0">
            <w:pPr>
              <w:spacing w:after="0" w:line="240" w:lineRule="atLeast"/>
              <w:ind w:left="72" w:right="383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58</w:t>
            </w:r>
            <w:r w:rsidR="00832845"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.</w:t>
            </w:r>
            <w:r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8</w:t>
            </w:r>
            <w:r w:rsidR="002E4F58"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E4F58" w:rsidRPr="00743A83" w:rsidRDefault="002E4F58" w:rsidP="007D37A7">
            <w:pPr>
              <w:spacing w:after="0" w:line="240" w:lineRule="atLeast"/>
              <w:ind w:left="55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de-CH" w:eastAsia="de-DE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</w:tcPr>
          <w:p w:rsidR="002E4F58" w:rsidRPr="00743A83" w:rsidRDefault="002E4F58" w:rsidP="005D0FD0">
            <w:pPr>
              <w:spacing w:after="0" w:line="240" w:lineRule="atLeast"/>
              <w:ind w:left="72" w:right="384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6</w:t>
            </w:r>
            <w:r w:rsidR="001A0A16"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3</w:t>
            </w:r>
            <w:r w:rsidR="00832845"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.</w:t>
            </w:r>
            <w:r w:rsidR="005D0FD0"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5</w:t>
            </w:r>
            <w:r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%</w:t>
            </w:r>
          </w:p>
        </w:tc>
      </w:tr>
    </w:tbl>
    <w:p w:rsidR="007D37A7" w:rsidRPr="00743A83" w:rsidRDefault="007D37A7" w:rsidP="001F067A">
      <w:pPr>
        <w:spacing w:line="240" w:lineRule="auto"/>
        <w:ind w:right="851"/>
        <w:rPr>
          <w:sz w:val="16"/>
          <w:szCs w:val="16"/>
          <w:lang w:val="de-CH" w:eastAsia="de-CH"/>
        </w:rPr>
      </w:pPr>
    </w:p>
    <w:p w:rsidR="00DC730D" w:rsidRDefault="00AF3E38" w:rsidP="00DC730D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color w:val="auto"/>
          <w:sz w:val="22"/>
          <w:lang w:val="de-CH"/>
        </w:rPr>
        <w:t xml:space="preserve">Ungeachtet </w:t>
      </w:r>
      <w:r w:rsidR="005D78DB" w:rsidRPr="00743A83">
        <w:rPr>
          <w:rStyle w:val="etgHeaderContdSubject"/>
          <w:color w:val="auto"/>
          <w:sz w:val="22"/>
          <w:lang w:val="de-CH"/>
        </w:rPr>
        <w:t>der</w:t>
      </w:r>
      <w:r w:rsidRPr="00743A83">
        <w:rPr>
          <w:rStyle w:val="etgHeaderContdSubject"/>
          <w:color w:val="auto"/>
          <w:sz w:val="22"/>
          <w:lang w:val="de-CH"/>
        </w:rPr>
        <w:t xml:space="preserve"> Entwicklung einzelner </w:t>
      </w:r>
      <w:r w:rsidR="00D6172D" w:rsidRPr="00743A83">
        <w:rPr>
          <w:rStyle w:val="etgHeaderContdSubject"/>
          <w:color w:val="auto"/>
          <w:sz w:val="22"/>
          <w:lang w:val="de-CH"/>
        </w:rPr>
        <w:t>Marken</w:t>
      </w:r>
      <w:r w:rsidRPr="00743A83">
        <w:rPr>
          <w:rStyle w:val="etgHeaderContdSubject"/>
          <w:color w:val="auto"/>
          <w:sz w:val="22"/>
          <w:lang w:val="de-CH"/>
        </w:rPr>
        <w:t xml:space="preserve"> boom</w:t>
      </w:r>
      <w:r w:rsidR="005D78DB" w:rsidRPr="00743A83">
        <w:rPr>
          <w:rStyle w:val="etgHeaderContdSubject"/>
          <w:color w:val="auto"/>
          <w:sz w:val="22"/>
          <w:lang w:val="de-CH"/>
        </w:rPr>
        <w:t>t die Nachfrage nach</w:t>
      </w:r>
      <w:r w:rsidRPr="00743A83">
        <w:rPr>
          <w:rStyle w:val="etgHeaderContdSubject"/>
          <w:color w:val="auto"/>
          <w:sz w:val="22"/>
          <w:lang w:val="de-CH"/>
        </w:rPr>
        <w:t xml:space="preserve"> vierradgetriebene</w:t>
      </w:r>
      <w:r w:rsidR="005D78DB" w:rsidRPr="00743A83">
        <w:rPr>
          <w:rStyle w:val="etgHeaderContdSubject"/>
          <w:color w:val="auto"/>
          <w:sz w:val="22"/>
          <w:lang w:val="de-CH"/>
        </w:rPr>
        <w:t>n</w:t>
      </w:r>
      <w:r w:rsidRPr="00743A83">
        <w:rPr>
          <w:rStyle w:val="etgHeaderContdSubject"/>
          <w:color w:val="auto"/>
          <w:sz w:val="22"/>
          <w:lang w:val="de-CH"/>
        </w:rPr>
        <w:t xml:space="preserve"> Modelle</w:t>
      </w:r>
      <w:r w:rsidR="005D78DB" w:rsidRPr="00743A83">
        <w:rPr>
          <w:rStyle w:val="etgHeaderContdSubject"/>
          <w:color w:val="auto"/>
          <w:sz w:val="22"/>
          <w:lang w:val="de-CH"/>
        </w:rPr>
        <w:t>n</w:t>
      </w:r>
      <w:r w:rsidRPr="00743A83">
        <w:rPr>
          <w:rStyle w:val="etgHeaderContdSubject"/>
          <w:color w:val="auto"/>
          <w:sz w:val="22"/>
          <w:lang w:val="de-CH"/>
        </w:rPr>
        <w:t xml:space="preserve"> quer durch alle Fahrzeugsemente. Im ersten Halbjahr konnten Fahrzeuge mit 4x4-A</w:t>
      </w:r>
      <w:r w:rsidR="00381D5B">
        <w:rPr>
          <w:rStyle w:val="etgHeaderContdSubject"/>
          <w:color w:val="auto"/>
          <w:sz w:val="22"/>
          <w:lang w:val="de-CH"/>
        </w:rPr>
        <w:t xml:space="preserve">ntrieb erneut um +5,4% zulegen – ihr </w:t>
      </w:r>
      <w:r w:rsidRPr="00743A83">
        <w:rPr>
          <w:rStyle w:val="etgHeaderContdSubject"/>
          <w:color w:val="auto"/>
          <w:sz w:val="22"/>
          <w:lang w:val="de-CH"/>
        </w:rPr>
        <w:t xml:space="preserve">Marktanteil </w:t>
      </w:r>
      <w:r w:rsidR="00381D5B">
        <w:rPr>
          <w:rStyle w:val="etgHeaderContdSubject"/>
          <w:color w:val="auto"/>
          <w:sz w:val="22"/>
          <w:lang w:val="de-CH"/>
        </w:rPr>
        <w:t xml:space="preserve">beträgt neu </w:t>
      </w:r>
      <w:r w:rsidRPr="00743A83">
        <w:rPr>
          <w:rStyle w:val="etgHeaderContdSubject"/>
          <w:color w:val="auto"/>
          <w:sz w:val="22"/>
          <w:lang w:val="de-CH"/>
        </w:rPr>
        <w:t>37,9% (</w:t>
      </w:r>
      <w:r w:rsidR="00D6172D">
        <w:rPr>
          <w:rStyle w:val="etgHeaderContdSubject"/>
          <w:color w:val="auto"/>
          <w:sz w:val="22"/>
          <w:lang w:val="de-CH"/>
        </w:rPr>
        <w:t>1. HJ</w:t>
      </w:r>
      <w:r w:rsidRPr="00743A83">
        <w:rPr>
          <w:rStyle w:val="etgHeaderContdSubject"/>
          <w:color w:val="auto"/>
          <w:sz w:val="22"/>
          <w:lang w:val="de-CH"/>
        </w:rPr>
        <w:t xml:space="preserve">/2013: 34,5%). </w:t>
      </w:r>
      <w:r w:rsidR="005F1DA1" w:rsidRPr="00743A83">
        <w:rPr>
          <w:rStyle w:val="etgHeaderContdSubject"/>
          <w:color w:val="auto"/>
          <w:sz w:val="22"/>
          <w:lang w:val="de-CH"/>
        </w:rPr>
        <w:t>Verkauft wurden auch 2,6% mehr Ne</w:t>
      </w:r>
      <w:r w:rsidR="00A86849" w:rsidRPr="00743A83">
        <w:rPr>
          <w:rStyle w:val="etgHeaderContdSubject"/>
          <w:color w:val="auto"/>
          <w:sz w:val="22"/>
          <w:lang w:val="de-CH"/>
        </w:rPr>
        <w:t xml:space="preserve">uwagen mit </w:t>
      </w:r>
      <w:r w:rsidR="00381D5B">
        <w:rPr>
          <w:rStyle w:val="etgHeaderContdSubject"/>
          <w:color w:val="auto"/>
          <w:sz w:val="22"/>
          <w:lang w:val="de-CH"/>
        </w:rPr>
        <w:t xml:space="preserve">einem </w:t>
      </w:r>
      <w:r w:rsidR="00A86849" w:rsidRPr="00743A83">
        <w:rPr>
          <w:rStyle w:val="etgHeaderContdSubject"/>
          <w:color w:val="auto"/>
          <w:sz w:val="22"/>
          <w:lang w:val="de-CH"/>
        </w:rPr>
        <w:t>Alternativantrieb (Hybrid-, Elektro-, Gas- und E85-Fahrzeuge)</w:t>
      </w:r>
      <w:r w:rsidR="005F1DA1" w:rsidRPr="00743A83">
        <w:rPr>
          <w:rStyle w:val="etgHeaderContdSubject"/>
          <w:color w:val="auto"/>
          <w:sz w:val="22"/>
          <w:lang w:val="de-CH"/>
        </w:rPr>
        <w:t>, gleichwohl bewegt sich deren Marktanteil mit 3,1% (</w:t>
      </w:r>
      <w:r w:rsidR="00D6172D">
        <w:rPr>
          <w:rStyle w:val="etgHeaderContdSubject"/>
          <w:color w:val="auto"/>
          <w:sz w:val="22"/>
          <w:lang w:val="de-CH"/>
        </w:rPr>
        <w:t>1. HJ</w:t>
      </w:r>
      <w:r w:rsidR="005F1DA1" w:rsidRPr="00743A83">
        <w:rPr>
          <w:rStyle w:val="etgHeaderContdSubject"/>
          <w:color w:val="auto"/>
          <w:sz w:val="22"/>
          <w:lang w:val="de-CH"/>
        </w:rPr>
        <w:t xml:space="preserve">/2013: 2,9%) weiterhin auf </w:t>
      </w:r>
      <w:r w:rsidR="00825D55" w:rsidRPr="00743A83">
        <w:rPr>
          <w:rStyle w:val="etgHeaderContdSubject"/>
          <w:color w:val="auto"/>
          <w:sz w:val="22"/>
          <w:lang w:val="de-CH"/>
        </w:rPr>
        <w:t>bescheidenem</w:t>
      </w:r>
      <w:r w:rsidR="005F1DA1" w:rsidRPr="00743A83">
        <w:rPr>
          <w:rStyle w:val="etgHeaderContdSubject"/>
          <w:color w:val="auto"/>
          <w:sz w:val="22"/>
          <w:lang w:val="de-CH"/>
        </w:rPr>
        <w:t xml:space="preserve"> Niveau. </w:t>
      </w:r>
      <w:r w:rsidR="00E11551" w:rsidRPr="00743A83">
        <w:rPr>
          <w:rStyle w:val="etgHeaderContdSubject"/>
          <w:color w:val="auto"/>
          <w:sz w:val="22"/>
          <w:lang w:val="de-CH"/>
        </w:rPr>
        <w:t xml:space="preserve">Bei Neuwagenkäufern höher in der Gunst </w:t>
      </w:r>
      <w:r w:rsidR="00DF4FBC">
        <w:rPr>
          <w:rStyle w:val="etgHeaderContdSubject"/>
          <w:color w:val="auto"/>
          <w:sz w:val="22"/>
          <w:lang w:val="de-CH"/>
        </w:rPr>
        <w:t xml:space="preserve">stehen </w:t>
      </w:r>
      <w:r w:rsidR="007874C4" w:rsidRPr="00743A83">
        <w:rPr>
          <w:rStyle w:val="etgHeaderContdSubject"/>
          <w:color w:val="auto"/>
          <w:sz w:val="22"/>
          <w:lang w:val="de-CH"/>
        </w:rPr>
        <w:t>Dieselfahrzeuge</w:t>
      </w:r>
      <w:r w:rsidR="00DF4FBC">
        <w:rPr>
          <w:rStyle w:val="etgHeaderContdSubject"/>
          <w:color w:val="auto"/>
          <w:sz w:val="22"/>
          <w:lang w:val="de-CH"/>
        </w:rPr>
        <w:t xml:space="preserve">, obschon deren </w:t>
      </w:r>
      <w:r w:rsidR="00E11551" w:rsidRPr="00743A83">
        <w:rPr>
          <w:rStyle w:val="etgHeaderContdSubject"/>
          <w:color w:val="auto"/>
          <w:sz w:val="22"/>
          <w:lang w:val="de-CH"/>
        </w:rPr>
        <w:t>Verkäufe erneut</w:t>
      </w:r>
      <w:r w:rsidR="00DF4FBC">
        <w:rPr>
          <w:rStyle w:val="etgHeaderContdSubject"/>
          <w:color w:val="auto"/>
          <w:sz w:val="22"/>
          <w:lang w:val="de-CH"/>
        </w:rPr>
        <w:t xml:space="preserve"> rückläufig waren</w:t>
      </w:r>
      <w:r w:rsidR="00E11551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5F1DA1" w:rsidRPr="00743A83">
        <w:rPr>
          <w:rStyle w:val="etgHeaderContdSubject"/>
          <w:color w:val="auto"/>
          <w:sz w:val="22"/>
          <w:lang w:val="de-CH"/>
        </w:rPr>
        <w:t>(-4,3%)</w:t>
      </w:r>
      <w:r w:rsidR="00DF4FBC">
        <w:rPr>
          <w:rStyle w:val="etgHeaderContdSubject"/>
          <w:color w:val="auto"/>
          <w:sz w:val="22"/>
          <w:lang w:val="de-CH"/>
        </w:rPr>
        <w:t>.</w:t>
      </w:r>
      <w:r w:rsidR="00825D55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DF4FBC">
        <w:rPr>
          <w:rStyle w:val="etgHeaderContdSubject"/>
          <w:color w:val="auto"/>
          <w:sz w:val="22"/>
          <w:lang w:val="de-CH"/>
        </w:rPr>
        <w:t xml:space="preserve">Aktuell beträgt der (sinkende) </w:t>
      </w:r>
      <w:r w:rsidR="00825D55" w:rsidRPr="00743A83">
        <w:rPr>
          <w:rStyle w:val="etgHeaderContdSubject"/>
          <w:color w:val="auto"/>
          <w:sz w:val="22"/>
          <w:lang w:val="de-CH"/>
        </w:rPr>
        <w:t>Marktanteil noch 36,7% (</w:t>
      </w:r>
      <w:r w:rsidR="00D6172D">
        <w:rPr>
          <w:rStyle w:val="etgHeaderContdSubject"/>
          <w:color w:val="auto"/>
          <w:sz w:val="22"/>
          <w:lang w:val="de-CH"/>
        </w:rPr>
        <w:t>1. HJ</w:t>
      </w:r>
      <w:r w:rsidR="00825D55" w:rsidRPr="00743A83">
        <w:rPr>
          <w:rStyle w:val="etgHeaderContdSubject"/>
          <w:color w:val="auto"/>
          <w:sz w:val="22"/>
          <w:lang w:val="de-CH"/>
        </w:rPr>
        <w:t>/2013: 36,8%).</w:t>
      </w:r>
    </w:p>
    <w:p w:rsidR="007D37A7" w:rsidRPr="00743A83" w:rsidRDefault="004E574F" w:rsidP="007D37A7">
      <w:pPr>
        <w:pStyle w:val="etgLead"/>
        <w:spacing w:before="0" w:after="0" w:line="240" w:lineRule="auto"/>
        <w:jc w:val="left"/>
        <w:rPr>
          <w:rStyle w:val="etgHeaderContdSubject"/>
          <w:b/>
          <w:color w:val="auto"/>
          <w:sz w:val="22"/>
          <w:lang w:val="de-CH"/>
        </w:rPr>
      </w:pPr>
      <w:r w:rsidRPr="00743A83">
        <w:rPr>
          <w:rStyle w:val="etgHeaderContdSubject"/>
          <w:b/>
          <w:color w:val="auto"/>
          <w:sz w:val="22"/>
          <w:lang w:val="de-CH"/>
        </w:rPr>
        <w:lastRenderedPageBreak/>
        <w:t>Temporärer Sättigungseffekt bremst den Occasionshandel</w:t>
      </w:r>
    </w:p>
    <w:p w:rsidR="00184C2C" w:rsidRPr="00743A83" w:rsidRDefault="00CE095C" w:rsidP="00184C2C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color w:val="auto"/>
          <w:sz w:val="22"/>
          <w:lang w:val="de-CH"/>
        </w:rPr>
        <w:t xml:space="preserve">Eine eher überraschende Entwicklung ist im Gebrauchtwagenhandel festzustellen: Nachdem im 1. Quartal des laufenden Jahres noch ein </w:t>
      </w:r>
      <w:r w:rsidR="00A64D23" w:rsidRPr="00743A83">
        <w:rPr>
          <w:rStyle w:val="etgHeaderContdSubject"/>
          <w:color w:val="auto"/>
          <w:sz w:val="22"/>
          <w:lang w:val="de-CH"/>
        </w:rPr>
        <w:t>moderates</w:t>
      </w:r>
      <w:r w:rsidRPr="00743A83">
        <w:rPr>
          <w:rStyle w:val="etgHeaderContdSubject"/>
          <w:color w:val="auto"/>
          <w:sz w:val="22"/>
          <w:lang w:val="de-CH"/>
        </w:rPr>
        <w:t xml:space="preserve"> Wachstum</w:t>
      </w:r>
      <w:r w:rsidR="00A636ED" w:rsidRPr="00743A83">
        <w:rPr>
          <w:rStyle w:val="etgHeaderContdSubject"/>
          <w:color w:val="auto"/>
          <w:sz w:val="22"/>
          <w:lang w:val="de-CH"/>
        </w:rPr>
        <w:t xml:space="preserve"> von 0,7% verbucht we</w:t>
      </w:r>
      <w:r w:rsidR="00A636ED" w:rsidRPr="00743A83">
        <w:rPr>
          <w:rStyle w:val="etgHeaderContdSubject"/>
          <w:color w:val="auto"/>
          <w:sz w:val="22"/>
          <w:lang w:val="de-CH"/>
        </w:rPr>
        <w:t>r</w:t>
      </w:r>
      <w:r w:rsidR="00A636ED" w:rsidRPr="00743A83">
        <w:rPr>
          <w:rStyle w:val="etgHeaderContdSubject"/>
          <w:color w:val="auto"/>
          <w:sz w:val="22"/>
          <w:lang w:val="de-CH"/>
        </w:rPr>
        <w:t xml:space="preserve">den konnte, </w:t>
      </w:r>
      <w:r w:rsidR="00381D5B">
        <w:rPr>
          <w:rStyle w:val="etgHeaderContdSubject"/>
          <w:color w:val="auto"/>
          <w:sz w:val="22"/>
          <w:lang w:val="de-CH"/>
        </w:rPr>
        <w:t>schlug</w:t>
      </w:r>
      <w:r w:rsidR="00A636ED" w:rsidRPr="00743A83">
        <w:rPr>
          <w:rStyle w:val="etgHeaderContdSubject"/>
          <w:color w:val="auto"/>
          <w:sz w:val="22"/>
          <w:lang w:val="de-CH"/>
        </w:rPr>
        <w:t xml:space="preserve"> das 2. Quartal 2014 mit -3,5% </w:t>
      </w:r>
      <w:r w:rsidR="00056CF7">
        <w:rPr>
          <w:rStyle w:val="etgHeaderContdSubject"/>
          <w:color w:val="auto"/>
          <w:sz w:val="22"/>
          <w:lang w:val="de-CH"/>
        </w:rPr>
        <w:t xml:space="preserve">negativ </w:t>
      </w:r>
      <w:r w:rsidR="00A636ED" w:rsidRPr="00743A83">
        <w:rPr>
          <w:rStyle w:val="etgHeaderContdSubject"/>
          <w:color w:val="auto"/>
          <w:sz w:val="22"/>
          <w:lang w:val="de-CH"/>
        </w:rPr>
        <w:t xml:space="preserve">zu Buche. Für das </w:t>
      </w:r>
      <w:r w:rsidR="00DF4FBC">
        <w:rPr>
          <w:rStyle w:val="etgHeaderContdSubject"/>
          <w:color w:val="auto"/>
          <w:sz w:val="22"/>
          <w:lang w:val="de-CH"/>
        </w:rPr>
        <w:t>erste</w:t>
      </w:r>
      <w:r w:rsidR="00A636ED" w:rsidRPr="00743A83">
        <w:rPr>
          <w:rStyle w:val="etgHeaderContdSubject"/>
          <w:color w:val="auto"/>
          <w:sz w:val="22"/>
          <w:lang w:val="de-CH"/>
        </w:rPr>
        <w:t xml:space="preserve"> Halbjahr resultiert </w:t>
      </w:r>
      <w:r w:rsidR="00184C2C">
        <w:rPr>
          <w:rStyle w:val="etgHeaderContdSubject"/>
          <w:color w:val="auto"/>
          <w:sz w:val="22"/>
          <w:lang w:val="de-CH"/>
        </w:rPr>
        <w:t xml:space="preserve">damit </w:t>
      </w:r>
      <w:r w:rsidR="00A64D23" w:rsidRPr="00743A83">
        <w:rPr>
          <w:rStyle w:val="etgHeaderContdSubject"/>
          <w:color w:val="auto"/>
          <w:sz w:val="22"/>
          <w:lang w:val="de-CH"/>
        </w:rPr>
        <w:t xml:space="preserve">trotz 423‘854 gehandelten Fahrzeugen </w:t>
      </w:r>
      <w:r w:rsidR="00A636ED" w:rsidRPr="00743A83">
        <w:rPr>
          <w:rStyle w:val="etgHeaderContdSubject"/>
          <w:color w:val="auto"/>
          <w:sz w:val="22"/>
          <w:lang w:val="de-CH"/>
        </w:rPr>
        <w:t>ein</w:t>
      </w:r>
      <w:r w:rsidR="00A64D23" w:rsidRPr="00743A83">
        <w:rPr>
          <w:rStyle w:val="etgHeaderContdSubject"/>
          <w:color w:val="auto"/>
          <w:sz w:val="22"/>
          <w:lang w:val="de-CH"/>
        </w:rPr>
        <w:t xml:space="preserve"> Wachstum mit negativem Vorze</w:t>
      </w:r>
      <w:r w:rsidR="00A64D23" w:rsidRPr="00743A83">
        <w:rPr>
          <w:rStyle w:val="etgHeaderContdSubject"/>
          <w:color w:val="auto"/>
          <w:sz w:val="22"/>
          <w:lang w:val="de-CH"/>
        </w:rPr>
        <w:t>i</w:t>
      </w:r>
      <w:r w:rsidR="00A64D23" w:rsidRPr="00743A83">
        <w:rPr>
          <w:rStyle w:val="etgHeaderContdSubject"/>
          <w:color w:val="auto"/>
          <w:sz w:val="22"/>
          <w:lang w:val="de-CH"/>
        </w:rPr>
        <w:t>chen (</w:t>
      </w:r>
      <w:r w:rsidR="00A636ED" w:rsidRPr="00743A83">
        <w:rPr>
          <w:rStyle w:val="etgHeaderContdSubject"/>
          <w:color w:val="auto"/>
          <w:sz w:val="22"/>
          <w:lang w:val="de-CH"/>
        </w:rPr>
        <w:t>-1,4%</w:t>
      </w:r>
      <w:r w:rsidR="00A64D23" w:rsidRPr="00743A83">
        <w:rPr>
          <w:rStyle w:val="etgHeaderContdSubject"/>
          <w:color w:val="auto"/>
          <w:sz w:val="22"/>
          <w:lang w:val="de-CH"/>
        </w:rPr>
        <w:t>)</w:t>
      </w:r>
      <w:r w:rsidR="00A636ED" w:rsidRPr="00743A83">
        <w:rPr>
          <w:rStyle w:val="etgHeaderContdSubject"/>
          <w:color w:val="auto"/>
          <w:sz w:val="22"/>
          <w:lang w:val="de-CH"/>
        </w:rPr>
        <w:t xml:space="preserve">. </w:t>
      </w:r>
      <w:r w:rsidR="00741633" w:rsidRPr="00743A83">
        <w:rPr>
          <w:rStyle w:val="etgHeaderContdSubject"/>
          <w:color w:val="auto"/>
          <w:sz w:val="22"/>
          <w:lang w:val="de-CH"/>
        </w:rPr>
        <w:t xml:space="preserve">Heiko Haasler, Geschäftsführer von Eurotax Schweiz, </w:t>
      </w:r>
      <w:r w:rsidR="00741633">
        <w:rPr>
          <w:rStyle w:val="etgHeaderContdSubject"/>
          <w:color w:val="auto"/>
          <w:sz w:val="22"/>
          <w:lang w:val="de-CH"/>
        </w:rPr>
        <w:t>sieht in der aktuellen Situation</w:t>
      </w:r>
      <w:r w:rsidR="00184C2C" w:rsidRPr="00743A83">
        <w:rPr>
          <w:rStyle w:val="etgHeaderContdSubject"/>
          <w:color w:val="auto"/>
          <w:sz w:val="22"/>
          <w:lang w:val="de-CH"/>
        </w:rPr>
        <w:t xml:space="preserve"> ein</w:t>
      </w:r>
      <w:r w:rsidR="00741633">
        <w:rPr>
          <w:rStyle w:val="etgHeaderContdSubject"/>
          <w:color w:val="auto"/>
          <w:sz w:val="22"/>
          <w:lang w:val="de-CH"/>
        </w:rPr>
        <w:t>en</w:t>
      </w:r>
      <w:r w:rsidR="00184C2C" w:rsidRPr="00743A83">
        <w:rPr>
          <w:rStyle w:val="etgHeaderContdSubject"/>
          <w:color w:val="auto"/>
          <w:sz w:val="22"/>
          <w:lang w:val="de-CH"/>
        </w:rPr>
        <w:t xml:space="preserve"> temporäre</w:t>
      </w:r>
      <w:r w:rsidR="00741633">
        <w:rPr>
          <w:rStyle w:val="etgHeaderContdSubject"/>
          <w:color w:val="auto"/>
          <w:sz w:val="22"/>
          <w:lang w:val="de-CH"/>
        </w:rPr>
        <w:t>n</w:t>
      </w:r>
      <w:r w:rsidR="00184C2C" w:rsidRPr="00743A83">
        <w:rPr>
          <w:rStyle w:val="etgHeaderContdSubject"/>
          <w:color w:val="auto"/>
          <w:sz w:val="22"/>
          <w:lang w:val="de-CH"/>
        </w:rPr>
        <w:t xml:space="preserve"> Sättigungseffekt. </w:t>
      </w:r>
      <w:r w:rsidR="00741633" w:rsidRPr="00743A83">
        <w:rPr>
          <w:rStyle w:val="etgHeaderContdSubject"/>
          <w:color w:val="auto"/>
          <w:sz w:val="22"/>
          <w:lang w:val="de-CH"/>
        </w:rPr>
        <w:t>«</w:t>
      </w:r>
      <w:r w:rsidR="00184C2C" w:rsidRPr="00743A83">
        <w:rPr>
          <w:rStyle w:val="etgHeaderContdSubject"/>
          <w:color w:val="auto"/>
          <w:sz w:val="22"/>
          <w:lang w:val="de-CH"/>
        </w:rPr>
        <w:t xml:space="preserve">Da sich der enorme Preiszerfall der letzten anderthalb Jahre stabilisiert und auch der Zufluss besonders attraktiver Tageszulassungen nachgelassen hat, ebbt der Run in die Verkaufslokale </w:t>
      </w:r>
      <w:r w:rsidR="00E17C88">
        <w:rPr>
          <w:rStyle w:val="etgHeaderContdSubject"/>
          <w:color w:val="auto"/>
          <w:sz w:val="22"/>
          <w:lang w:val="de-CH"/>
        </w:rPr>
        <w:t xml:space="preserve">etwas </w:t>
      </w:r>
      <w:r w:rsidR="00DF4FBC">
        <w:rPr>
          <w:rStyle w:val="etgHeaderContdSubject"/>
          <w:color w:val="auto"/>
          <w:sz w:val="22"/>
          <w:lang w:val="de-CH"/>
        </w:rPr>
        <w:t>ab</w:t>
      </w:r>
      <w:r w:rsidR="00E17C88">
        <w:rPr>
          <w:rStyle w:val="etgHeaderContdSubject"/>
          <w:color w:val="auto"/>
          <w:sz w:val="22"/>
          <w:lang w:val="de-CH"/>
        </w:rPr>
        <w:t>.</w:t>
      </w:r>
      <w:r w:rsidR="00F6565A">
        <w:rPr>
          <w:rStyle w:val="etgHeaderContdSubject"/>
          <w:color w:val="auto"/>
          <w:sz w:val="22"/>
          <w:lang w:val="de-CH"/>
        </w:rPr>
        <w:t xml:space="preserve"> Die Überkapazitäten der </w:t>
      </w:r>
      <w:r w:rsidR="002A6A37">
        <w:rPr>
          <w:rStyle w:val="etgHeaderContdSubject"/>
          <w:color w:val="auto"/>
          <w:sz w:val="22"/>
          <w:lang w:val="de-CH"/>
        </w:rPr>
        <w:t xml:space="preserve">europäischen </w:t>
      </w:r>
      <w:r w:rsidR="00F6565A">
        <w:rPr>
          <w:rStyle w:val="etgHeaderContdSubject"/>
          <w:color w:val="auto"/>
          <w:sz w:val="22"/>
          <w:lang w:val="de-CH"/>
        </w:rPr>
        <w:t>Automobilindustrie werden jedoch dazu beitragen, dass sich der aktuelle Nac</w:t>
      </w:r>
      <w:r w:rsidR="002A6A37">
        <w:rPr>
          <w:rStyle w:val="etgHeaderContdSubject"/>
          <w:color w:val="auto"/>
          <w:sz w:val="22"/>
          <w:lang w:val="de-CH"/>
        </w:rPr>
        <w:t>h</w:t>
      </w:r>
      <w:r w:rsidR="00F6565A">
        <w:rPr>
          <w:rStyle w:val="etgHeaderContdSubject"/>
          <w:color w:val="auto"/>
          <w:sz w:val="22"/>
          <w:lang w:val="de-CH"/>
        </w:rPr>
        <w:t>fragerückgang im Gebrauchtwagenmarkt mittelfristig wieder zum Positiven wendet.</w:t>
      </w:r>
      <w:r w:rsidR="00184C2C" w:rsidRPr="00743A83">
        <w:rPr>
          <w:rStyle w:val="etgHeaderContdSubject"/>
          <w:color w:val="auto"/>
          <w:sz w:val="22"/>
          <w:lang w:val="de-CH"/>
        </w:rPr>
        <w:t>»</w:t>
      </w:r>
    </w:p>
    <w:p w:rsidR="00184C2C" w:rsidRDefault="00184C2C" w:rsidP="007D37A7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</w:p>
    <w:p w:rsidR="00A64D23" w:rsidRPr="00743A83" w:rsidRDefault="00A64D23" w:rsidP="007D37A7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color w:val="auto"/>
          <w:sz w:val="22"/>
          <w:lang w:val="de-CH"/>
        </w:rPr>
        <w:t>Auffällig stark gefragt</w:t>
      </w:r>
      <w:r w:rsidR="00CE095C" w:rsidRPr="00743A83">
        <w:rPr>
          <w:rStyle w:val="etgHeaderContdSubject"/>
          <w:color w:val="auto"/>
          <w:sz w:val="22"/>
          <w:lang w:val="de-CH"/>
        </w:rPr>
        <w:t xml:space="preserve"> </w:t>
      </w:r>
      <w:r w:rsidRPr="00743A83">
        <w:rPr>
          <w:rStyle w:val="etgHeaderContdSubject"/>
          <w:color w:val="auto"/>
          <w:sz w:val="22"/>
          <w:lang w:val="de-CH"/>
        </w:rPr>
        <w:t xml:space="preserve">waren </w:t>
      </w:r>
      <w:r w:rsidR="00E23179">
        <w:rPr>
          <w:rStyle w:val="etgHeaderContdSubject"/>
          <w:color w:val="auto"/>
          <w:sz w:val="22"/>
          <w:lang w:val="de-CH"/>
        </w:rPr>
        <w:t xml:space="preserve">im </w:t>
      </w:r>
      <w:r w:rsidR="00184C2C">
        <w:rPr>
          <w:rStyle w:val="etgHeaderContdSubject"/>
          <w:color w:val="auto"/>
          <w:sz w:val="22"/>
          <w:lang w:val="de-CH"/>
        </w:rPr>
        <w:t xml:space="preserve">1. Halbjahr </w:t>
      </w:r>
      <w:r w:rsidR="008F6125" w:rsidRPr="00743A83">
        <w:rPr>
          <w:rStyle w:val="etgHeaderContdSubject"/>
          <w:color w:val="auto"/>
          <w:sz w:val="22"/>
          <w:lang w:val="de-CH"/>
        </w:rPr>
        <w:t xml:space="preserve">gleichwohl </w:t>
      </w:r>
      <w:r w:rsidRPr="00743A83">
        <w:rPr>
          <w:rStyle w:val="etgHeaderContdSubject"/>
          <w:color w:val="auto"/>
          <w:sz w:val="22"/>
          <w:lang w:val="de-CH"/>
        </w:rPr>
        <w:t>Luxusfahrz</w:t>
      </w:r>
      <w:r w:rsidR="00D7518C">
        <w:rPr>
          <w:rStyle w:val="etgHeaderContdSubject"/>
          <w:color w:val="auto"/>
          <w:sz w:val="22"/>
          <w:lang w:val="de-CH"/>
        </w:rPr>
        <w:t>e</w:t>
      </w:r>
      <w:r w:rsidRPr="00743A83">
        <w:rPr>
          <w:rStyle w:val="etgHeaderContdSubject"/>
          <w:color w:val="auto"/>
          <w:sz w:val="22"/>
          <w:lang w:val="de-CH"/>
        </w:rPr>
        <w:t xml:space="preserve">uge von BMW </w:t>
      </w:r>
      <w:proofErr w:type="spellStart"/>
      <w:r w:rsidRPr="00743A83">
        <w:rPr>
          <w:rStyle w:val="etgHeaderContdSubject"/>
          <w:color w:val="auto"/>
          <w:sz w:val="22"/>
          <w:lang w:val="de-CH"/>
        </w:rPr>
        <w:t>Alpina</w:t>
      </w:r>
      <w:proofErr w:type="spellEnd"/>
      <w:r w:rsidRPr="00743A83">
        <w:rPr>
          <w:rStyle w:val="etgHeaderContdSubject"/>
          <w:color w:val="auto"/>
          <w:sz w:val="22"/>
          <w:lang w:val="de-CH"/>
        </w:rPr>
        <w:t xml:space="preserve"> (+46%), Maserati (+21,1%), Land-Rover (+18,7%) und Ferrari (+11,9%). Die geringen Stückzahlen vermochten das insgesamt negative Ergebnis </w:t>
      </w:r>
      <w:r w:rsidR="00184C2C" w:rsidRPr="00743A83">
        <w:rPr>
          <w:rStyle w:val="etgHeaderContdSubject"/>
          <w:color w:val="auto"/>
          <w:sz w:val="22"/>
          <w:lang w:val="de-CH"/>
        </w:rPr>
        <w:t>indes</w:t>
      </w:r>
      <w:r w:rsidRPr="00743A83">
        <w:rPr>
          <w:rStyle w:val="etgHeaderContdSubject"/>
          <w:color w:val="auto"/>
          <w:sz w:val="22"/>
          <w:lang w:val="de-CH"/>
        </w:rPr>
        <w:t xml:space="preserve"> nicht zu kompensieren. Bemerkenswert ist allerdings, dass die </w:t>
      </w:r>
      <w:r w:rsidR="00056CF7">
        <w:rPr>
          <w:rStyle w:val="etgHeaderContdSubject"/>
          <w:color w:val="auto"/>
          <w:sz w:val="22"/>
          <w:lang w:val="de-CH"/>
        </w:rPr>
        <w:t>positive</w:t>
      </w:r>
      <w:r w:rsidR="00DF4FBC">
        <w:rPr>
          <w:rStyle w:val="etgHeaderContdSubject"/>
          <w:color w:val="auto"/>
          <w:sz w:val="22"/>
          <w:lang w:val="de-CH"/>
        </w:rPr>
        <w:t>n</w:t>
      </w:r>
      <w:r w:rsidR="00056CF7">
        <w:rPr>
          <w:rStyle w:val="etgHeaderContdSubject"/>
          <w:color w:val="auto"/>
          <w:sz w:val="22"/>
          <w:lang w:val="de-CH"/>
        </w:rPr>
        <w:t xml:space="preserve"> </w:t>
      </w:r>
      <w:r w:rsidR="00F6565A">
        <w:rPr>
          <w:rStyle w:val="etgHeaderContdSubject"/>
          <w:color w:val="auto"/>
          <w:sz w:val="22"/>
          <w:lang w:val="de-CH"/>
        </w:rPr>
        <w:t>und</w:t>
      </w:r>
      <w:r w:rsidR="00056CF7">
        <w:rPr>
          <w:rStyle w:val="etgHeaderContdSubject"/>
          <w:color w:val="auto"/>
          <w:sz w:val="22"/>
          <w:lang w:val="de-CH"/>
        </w:rPr>
        <w:t xml:space="preserve"> negative</w:t>
      </w:r>
      <w:r w:rsidR="00DF4FBC">
        <w:rPr>
          <w:rStyle w:val="etgHeaderContdSubject"/>
          <w:color w:val="auto"/>
          <w:sz w:val="22"/>
          <w:lang w:val="de-CH"/>
        </w:rPr>
        <w:t>n</w:t>
      </w:r>
      <w:r w:rsidR="00056CF7">
        <w:rPr>
          <w:rStyle w:val="etgHeaderContdSubject"/>
          <w:color w:val="auto"/>
          <w:sz w:val="22"/>
          <w:lang w:val="de-CH"/>
        </w:rPr>
        <w:t xml:space="preserve"> </w:t>
      </w:r>
      <w:r w:rsidR="00184C2C">
        <w:rPr>
          <w:rStyle w:val="etgHeaderContdSubject"/>
          <w:color w:val="auto"/>
          <w:sz w:val="22"/>
          <w:lang w:val="de-CH"/>
        </w:rPr>
        <w:t>Nachfrageentwicklung</w:t>
      </w:r>
      <w:r w:rsidR="00DF4FBC">
        <w:rPr>
          <w:rStyle w:val="etgHeaderContdSubject"/>
          <w:color w:val="auto"/>
          <w:sz w:val="22"/>
          <w:lang w:val="de-CH"/>
        </w:rPr>
        <w:t>en</w:t>
      </w:r>
      <w:r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184C2C">
        <w:rPr>
          <w:rStyle w:val="etgHeaderContdSubject"/>
          <w:color w:val="auto"/>
          <w:sz w:val="22"/>
          <w:lang w:val="de-CH"/>
        </w:rPr>
        <w:t>bei</w:t>
      </w:r>
      <w:r w:rsidRPr="00743A83">
        <w:rPr>
          <w:rStyle w:val="etgHeaderContdSubject"/>
          <w:color w:val="auto"/>
          <w:sz w:val="22"/>
          <w:lang w:val="de-CH"/>
        </w:rPr>
        <w:t xml:space="preserve"> Neufahrzeugen der Top-10-Markenvertreter</w:t>
      </w:r>
      <w:r w:rsidR="00F6565A">
        <w:rPr>
          <w:rStyle w:val="etgHeaderContdSubject"/>
          <w:color w:val="auto"/>
          <w:sz w:val="22"/>
          <w:lang w:val="de-CH"/>
        </w:rPr>
        <w:t xml:space="preserve"> auch </w:t>
      </w:r>
      <w:r w:rsidRPr="00743A83">
        <w:rPr>
          <w:rStyle w:val="etgHeaderContdSubject"/>
          <w:color w:val="auto"/>
          <w:sz w:val="22"/>
          <w:lang w:val="de-CH"/>
        </w:rPr>
        <w:t xml:space="preserve">bei </w:t>
      </w:r>
      <w:r w:rsidR="00DF4FBC">
        <w:rPr>
          <w:rStyle w:val="etgHeaderContdSubject"/>
          <w:color w:val="auto"/>
          <w:sz w:val="22"/>
          <w:lang w:val="de-CH"/>
        </w:rPr>
        <w:t>deren</w:t>
      </w:r>
      <w:r w:rsidR="008F6125" w:rsidRPr="00743A83">
        <w:rPr>
          <w:rStyle w:val="etgHeaderContdSubject"/>
          <w:color w:val="auto"/>
          <w:sz w:val="22"/>
          <w:lang w:val="de-CH"/>
        </w:rPr>
        <w:t xml:space="preserve"> </w:t>
      </w:r>
      <w:r w:rsidRPr="00743A83">
        <w:rPr>
          <w:rStyle w:val="etgHeaderContdSubject"/>
          <w:color w:val="auto"/>
          <w:sz w:val="22"/>
          <w:lang w:val="de-CH"/>
        </w:rPr>
        <w:t xml:space="preserve">gebrauchten Exemplaren </w:t>
      </w:r>
      <w:r w:rsidR="008F6125" w:rsidRPr="00743A83">
        <w:rPr>
          <w:rStyle w:val="etgHeaderContdSubject"/>
          <w:color w:val="auto"/>
          <w:sz w:val="22"/>
          <w:lang w:val="de-CH"/>
        </w:rPr>
        <w:t xml:space="preserve">1:1 zu beobachten ist! </w:t>
      </w:r>
      <w:r w:rsidR="00DF4FBC">
        <w:rPr>
          <w:rStyle w:val="etgHeaderContdSubject"/>
          <w:color w:val="auto"/>
          <w:sz w:val="22"/>
          <w:lang w:val="de-CH"/>
        </w:rPr>
        <w:t>Mit Bezug</w:t>
      </w:r>
      <w:r w:rsidR="008F6125" w:rsidRPr="00743A83">
        <w:rPr>
          <w:rStyle w:val="etgHeaderContdSubject"/>
          <w:color w:val="auto"/>
          <w:sz w:val="22"/>
          <w:lang w:val="de-CH"/>
        </w:rPr>
        <w:t xml:space="preserve"> auf die verkauften Stückzahlen </w:t>
      </w:r>
      <w:r w:rsidR="00DF4FBC">
        <w:rPr>
          <w:rStyle w:val="etgHeaderContdSubject"/>
          <w:color w:val="auto"/>
          <w:sz w:val="22"/>
          <w:lang w:val="de-CH"/>
        </w:rPr>
        <w:t>liegt Volkswagen bei den Occas</w:t>
      </w:r>
      <w:r w:rsidR="00DF4FBC">
        <w:rPr>
          <w:rStyle w:val="etgHeaderContdSubject"/>
          <w:color w:val="auto"/>
          <w:sz w:val="22"/>
          <w:lang w:val="de-CH"/>
        </w:rPr>
        <w:t>i</w:t>
      </w:r>
      <w:r w:rsidR="00DF4FBC">
        <w:rPr>
          <w:rStyle w:val="etgHeaderContdSubject"/>
          <w:color w:val="auto"/>
          <w:sz w:val="22"/>
          <w:lang w:val="de-CH"/>
        </w:rPr>
        <w:t xml:space="preserve">onen </w:t>
      </w:r>
      <w:r w:rsidR="00F6565A">
        <w:rPr>
          <w:rStyle w:val="etgHeaderContdSubject"/>
          <w:color w:val="auto"/>
          <w:sz w:val="22"/>
          <w:lang w:val="de-CH"/>
        </w:rPr>
        <w:t>deshalb genauso</w:t>
      </w:r>
      <w:r w:rsidR="00DF4FBC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8F6125" w:rsidRPr="00743A83">
        <w:rPr>
          <w:rStyle w:val="etgHeaderContdSubject"/>
          <w:color w:val="auto"/>
          <w:sz w:val="22"/>
          <w:lang w:val="de-CH"/>
        </w:rPr>
        <w:t xml:space="preserve">unangefochten an der Spitze (57‘567 PW; -2,2%), </w:t>
      </w:r>
      <w:r w:rsidR="00056CF7">
        <w:rPr>
          <w:rStyle w:val="etgHeaderContdSubject"/>
          <w:color w:val="auto"/>
          <w:sz w:val="22"/>
          <w:lang w:val="de-CH"/>
        </w:rPr>
        <w:t xml:space="preserve">während </w:t>
      </w:r>
      <w:r w:rsidR="008F6125" w:rsidRPr="00743A83">
        <w:rPr>
          <w:rStyle w:val="etgHeaderContdSubject"/>
          <w:color w:val="auto"/>
          <w:sz w:val="22"/>
          <w:lang w:val="de-CH"/>
        </w:rPr>
        <w:t xml:space="preserve">Skoda </w:t>
      </w:r>
      <w:r w:rsidR="00634032" w:rsidRPr="00743A83">
        <w:rPr>
          <w:rStyle w:val="etgHeaderContdSubject"/>
          <w:color w:val="auto"/>
          <w:sz w:val="22"/>
          <w:lang w:val="de-CH"/>
        </w:rPr>
        <w:t>prozentual den grössten Zuwachs</w:t>
      </w:r>
      <w:r w:rsidR="008F6125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056CF7">
        <w:rPr>
          <w:rStyle w:val="etgHeaderContdSubject"/>
          <w:color w:val="auto"/>
          <w:sz w:val="22"/>
          <w:lang w:val="de-CH"/>
        </w:rPr>
        <w:t>verzeichnet</w:t>
      </w:r>
      <w:r w:rsidR="00056CF7" w:rsidRPr="00743A83">
        <w:rPr>
          <w:rStyle w:val="etgHeaderContdSubject"/>
          <w:color w:val="auto"/>
          <w:sz w:val="22"/>
          <w:lang w:val="de-CH"/>
        </w:rPr>
        <w:t xml:space="preserve"> </w:t>
      </w:r>
      <w:r w:rsidR="008F6125" w:rsidRPr="00743A83">
        <w:rPr>
          <w:rStyle w:val="etgHeaderContdSubject"/>
          <w:color w:val="auto"/>
          <w:sz w:val="22"/>
          <w:lang w:val="de-CH"/>
        </w:rPr>
        <w:t>(10‘737 PW;</w:t>
      </w:r>
      <w:r w:rsidR="00634032" w:rsidRPr="00743A83">
        <w:rPr>
          <w:rStyle w:val="etgHeaderContdSubject"/>
          <w:color w:val="auto"/>
          <w:sz w:val="22"/>
          <w:lang w:val="de-CH"/>
        </w:rPr>
        <w:t xml:space="preserve"> +13,9%)</w:t>
      </w:r>
      <w:r w:rsidR="00056CF7">
        <w:rPr>
          <w:rStyle w:val="etgHeaderContdSubject"/>
          <w:color w:val="auto"/>
          <w:sz w:val="22"/>
          <w:lang w:val="de-CH"/>
        </w:rPr>
        <w:t xml:space="preserve"> und </w:t>
      </w:r>
      <w:r w:rsidR="00634032" w:rsidRPr="00743A83">
        <w:rPr>
          <w:rStyle w:val="etgHeaderContdSubject"/>
          <w:color w:val="auto"/>
          <w:sz w:val="22"/>
          <w:lang w:val="de-CH"/>
        </w:rPr>
        <w:t>Ford das untere Ende der Wachstumstabelle gehört (19‘598 PW; -7,2%).</w:t>
      </w:r>
    </w:p>
    <w:p w:rsidR="00A64D23" w:rsidRPr="00743A83" w:rsidRDefault="00A64D23" w:rsidP="007D37A7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</w:p>
    <w:p w:rsidR="007D37A7" w:rsidRPr="00743A83" w:rsidRDefault="00622E50" w:rsidP="007D37A7">
      <w:pPr>
        <w:pStyle w:val="etgLead"/>
        <w:spacing w:before="0" w:after="0" w:line="240" w:lineRule="auto"/>
        <w:jc w:val="left"/>
        <w:rPr>
          <w:rStyle w:val="etgHeaderContdSubject"/>
          <w:b/>
          <w:color w:val="auto"/>
          <w:sz w:val="22"/>
          <w:lang w:val="de-CH"/>
        </w:rPr>
      </w:pPr>
      <w:r w:rsidRPr="00743A83">
        <w:rPr>
          <w:rStyle w:val="etgHeaderContdSubject"/>
          <w:b/>
          <w:color w:val="auto"/>
          <w:sz w:val="22"/>
          <w:lang w:val="de-CH"/>
        </w:rPr>
        <w:t xml:space="preserve">Sinkende </w:t>
      </w:r>
      <w:r w:rsidR="005D1783" w:rsidRPr="00743A83">
        <w:rPr>
          <w:rStyle w:val="etgHeaderContdSubject"/>
          <w:b/>
          <w:color w:val="auto"/>
          <w:sz w:val="22"/>
          <w:lang w:val="de-CH"/>
        </w:rPr>
        <w:t xml:space="preserve">Standzeiten </w:t>
      </w:r>
      <w:r w:rsidRPr="00743A83">
        <w:rPr>
          <w:rStyle w:val="etgHeaderContdSubject"/>
          <w:b/>
          <w:color w:val="auto"/>
          <w:sz w:val="22"/>
          <w:lang w:val="de-CH"/>
        </w:rPr>
        <w:t xml:space="preserve">kompensieren </w:t>
      </w:r>
      <w:r w:rsidR="00ED514D" w:rsidRPr="00743A83">
        <w:rPr>
          <w:rStyle w:val="etgHeaderContdSubject"/>
          <w:b/>
          <w:color w:val="auto"/>
          <w:sz w:val="22"/>
          <w:lang w:val="de-CH"/>
        </w:rPr>
        <w:t>rückläufige Verkäufe</w:t>
      </w:r>
    </w:p>
    <w:p w:rsidR="006328AE" w:rsidRPr="00743A83" w:rsidRDefault="00ED514D" w:rsidP="008B1FB7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color w:val="auto"/>
          <w:sz w:val="22"/>
          <w:lang w:val="de-CH"/>
        </w:rPr>
        <w:t xml:space="preserve">Was auf den ersten Blick widersprüchlich erscheint, kann mit der europaweit gestiegenen Nachfrage nach Neufahrzeugen erklärt werden: Der </w:t>
      </w:r>
      <w:r w:rsidR="00056CF7">
        <w:rPr>
          <w:rStyle w:val="etgHeaderContdSubject"/>
          <w:color w:val="auto"/>
          <w:sz w:val="22"/>
          <w:lang w:val="de-CH"/>
        </w:rPr>
        <w:t>geringere Zustrom</w:t>
      </w:r>
      <w:r w:rsidRPr="00743A83">
        <w:rPr>
          <w:rStyle w:val="etgHeaderContdSubject"/>
          <w:color w:val="auto"/>
          <w:sz w:val="22"/>
          <w:lang w:val="de-CH"/>
        </w:rPr>
        <w:t xml:space="preserve"> junger und günstiger Gebrauchtwagen </w:t>
      </w:r>
      <w:r w:rsidR="00853576" w:rsidRPr="00743A83">
        <w:rPr>
          <w:rStyle w:val="etgHeaderContdSubject"/>
          <w:color w:val="auto"/>
          <w:sz w:val="22"/>
          <w:lang w:val="de-CH"/>
        </w:rPr>
        <w:t>aus dem Ausland überkompensiert die sinkende Nachfrage nach Occasi</w:t>
      </w:r>
      <w:r w:rsidR="00853576" w:rsidRPr="00743A83">
        <w:rPr>
          <w:rStyle w:val="etgHeaderContdSubject"/>
          <w:color w:val="auto"/>
          <w:sz w:val="22"/>
          <w:lang w:val="de-CH"/>
        </w:rPr>
        <w:t>o</w:t>
      </w:r>
      <w:r w:rsidR="00853576" w:rsidRPr="00743A83">
        <w:rPr>
          <w:rStyle w:val="etgHeaderContdSubject"/>
          <w:color w:val="auto"/>
          <w:sz w:val="22"/>
          <w:lang w:val="de-CH"/>
        </w:rPr>
        <w:t>nen im Inland. Dies führte im ersten Halbjahr 2014 zu eine</w:t>
      </w:r>
      <w:r w:rsidR="00056CF7">
        <w:rPr>
          <w:rStyle w:val="etgHeaderContdSubject"/>
          <w:color w:val="auto"/>
          <w:sz w:val="22"/>
          <w:lang w:val="de-CH"/>
        </w:rPr>
        <w:t>m</w:t>
      </w:r>
      <w:r w:rsidR="00853576" w:rsidRPr="00743A83">
        <w:rPr>
          <w:rStyle w:val="etgHeaderContdSubject"/>
          <w:color w:val="auto"/>
          <w:sz w:val="22"/>
          <w:lang w:val="de-CH"/>
        </w:rPr>
        <w:t xml:space="preserve"> deutlichen </w:t>
      </w:r>
      <w:r w:rsidR="00056CF7">
        <w:rPr>
          <w:rStyle w:val="etgHeaderContdSubject"/>
          <w:color w:val="auto"/>
          <w:sz w:val="22"/>
          <w:lang w:val="de-CH"/>
        </w:rPr>
        <w:t>Rückgang</w:t>
      </w:r>
      <w:r w:rsidR="00853576" w:rsidRPr="00743A83">
        <w:rPr>
          <w:rStyle w:val="etgHeaderContdSubject"/>
          <w:color w:val="auto"/>
          <w:sz w:val="22"/>
          <w:lang w:val="de-CH"/>
        </w:rPr>
        <w:t xml:space="preserve"> der Standzeiten</w:t>
      </w:r>
      <w:r w:rsidR="00056CF7">
        <w:rPr>
          <w:rStyle w:val="etgHeaderContdSubject"/>
          <w:color w:val="auto"/>
          <w:sz w:val="22"/>
          <w:lang w:val="de-CH"/>
        </w:rPr>
        <w:t xml:space="preserve"> </w:t>
      </w:r>
      <w:r w:rsidR="001F69C2" w:rsidRPr="00743A83">
        <w:rPr>
          <w:rStyle w:val="etgHeaderContdSubject"/>
          <w:color w:val="auto"/>
          <w:sz w:val="22"/>
          <w:lang w:val="de-CH"/>
        </w:rPr>
        <w:t xml:space="preserve">in allen Regionen </w:t>
      </w:r>
      <w:r w:rsidR="00056CF7">
        <w:rPr>
          <w:rStyle w:val="etgHeaderContdSubject"/>
          <w:color w:val="auto"/>
          <w:sz w:val="22"/>
          <w:lang w:val="de-CH"/>
        </w:rPr>
        <w:t xml:space="preserve">– </w:t>
      </w:r>
      <w:r w:rsidR="00853576" w:rsidRPr="00743A83">
        <w:rPr>
          <w:rStyle w:val="etgHeaderContdSubject"/>
          <w:color w:val="auto"/>
          <w:sz w:val="22"/>
          <w:lang w:val="de-CH"/>
        </w:rPr>
        <w:t xml:space="preserve">im Durchschnitt betragen diese </w:t>
      </w:r>
      <w:r w:rsidR="00056CF7">
        <w:rPr>
          <w:rStyle w:val="etgHeaderContdSubject"/>
          <w:color w:val="auto"/>
          <w:sz w:val="22"/>
          <w:lang w:val="de-CH"/>
        </w:rPr>
        <w:t xml:space="preserve">aktuell </w:t>
      </w:r>
      <w:r w:rsidR="00853576" w:rsidRPr="00743A83">
        <w:rPr>
          <w:rStyle w:val="etgHeaderContdSubject"/>
          <w:color w:val="auto"/>
          <w:sz w:val="22"/>
          <w:lang w:val="de-CH"/>
        </w:rPr>
        <w:t>94 Tage (-6,9%)</w:t>
      </w:r>
      <w:r w:rsidR="00CE117D" w:rsidRPr="00743A83">
        <w:rPr>
          <w:rStyle w:val="etgHeaderContdSubject"/>
          <w:color w:val="auto"/>
          <w:sz w:val="22"/>
          <w:lang w:val="de-CH"/>
        </w:rPr>
        <w:t>.</w:t>
      </w:r>
      <w:r w:rsidR="00DF4FBC">
        <w:rPr>
          <w:rStyle w:val="etgHeaderContdSubject"/>
          <w:color w:val="auto"/>
          <w:sz w:val="22"/>
          <w:lang w:val="de-CH"/>
        </w:rPr>
        <w:t xml:space="preserve"> Kürzere Standzeiten </w:t>
      </w:r>
      <w:r w:rsidR="001F69C2">
        <w:rPr>
          <w:rStyle w:val="etgHeaderContdSubject"/>
          <w:color w:val="auto"/>
          <w:sz w:val="22"/>
          <w:lang w:val="de-CH"/>
        </w:rPr>
        <w:t>bedeuten</w:t>
      </w:r>
      <w:r w:rsidR="00DF4FBC">
        <w:rPr>
          <w:rStyle w:val="etgHeaderContdSubject"/>
          <w:color w:val="auto"/>
          <w:sz w:val="22"/>
          <w:lang w:val="de-CH"/>
        </w:rPr>
        <w:t xml:space="preserve"> geringere Kosten für die Gebrauchtwagenhändler, was einen Teil der insgesamt rückläufigen Verkäufe zu kompensieren vermag.</w:t>
      </w:r>
    </w:p>
    <w:p w:rsidR="00B9556D" w:rsidRPr="00743A83" w:rsidRDefault="00B9556D" w:rsidP="008B1FB7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</w:p>
    <w:p w:rsidR="00331F0C" w:rsidRPr="00743A83" w:rsidRDefault="00853576" w:rsidP="00A150D5">
      <w:pPr>
        <w:pStyle w:val="etgLead"/>
        <w:spacing w:before="0" w:after="0" w:line="320" w:lineRule="atLeast"/>
        <w:rPr>
          <w:rStyle w:val="etgHeaderContdSubject"/>
          <w:color w:val="auto"/>
          <w:sz w:val="22"/>
          <w:lang w:val="de-CH"/>
        </w:rPr>
      </w:pPr>
      <w:r w:rsidRPr="00743A83">
        <w:rPr>
          <w:rStyle w:val="etgHeaderContdSubject"/>
          <w:color w:val="auto"/>
          <w:sz w:val="22"/>
          <w:lang w:val="de-CH"/>
        </w:rPr>
        <w:t xml:space="preserve">Für Händler besonders erfreulich ist, dass der </w:t>
      </w:r>
      <w:r w:rsidR="00CB5E65">
        <w:rPr>
          <w:rStyle w:val="etgHeaderContdSubject"/>
          <w:color w:val="auto"/>
          <w:sz w:val="22"/>
          <w:lang w:val="de-CH"/>
        </w:rPr>
        <w:t>Abbau der Standzeiten</w:t>
      </w:r>
      <w:r w:rsidRPr="00743A83">
        <w:rPr>
          <w:rStyle w:val="etgHeaderContdSubject"/>
          <w:color w:val="auto"/>
          <w:sz w:val="22"/>
          <w:lang w:val="de-CH"/>
        </w:rPr>
        <w:t xml:space="preserve"> für einmal sämtliche Fahrzeugsegmente betrifft. </w:t>
      </w:r>
      <w:r w:rsidR="00A150D5" w:rsidRPr="00743A83">
        <w:rPr>
          <w:rStyle w:val="etgHeaderContdSubject"/>
          <w:color w:val="auto"/>
          <w:sz w:val="22"/>
          <w:lang w:val="de-CH"/>
        </w:rPr>
        <w:t xml:space="preserve">Gesamtschweizerisch </w:t>
      </w:r>
      <w:r w:rsidRPr="00743A83">
        <w:rPr>
          <w:rStyle w:val="etgHeaderContdSubject"/>
          <w:color w:val="auto"/>
          <w:sz w:val="22"/>
          <w:lang w:val="de-CH"/>
        </w:rPr>
        <w:t>überdurchschnittlich nach</w:t>
      </w:r>
      <w:r w:rsidR="00A150D5" w:rsidRPr="00743A83">
        <w:rPr>
          <w:rStyle w:val="etgHeaderContdSubject"/>
          <w:color w:val="auto"/>
          <w:sz w:val="22"/>
          <w:lang w:val="de-CH"/>
        </w:rPr>
        <w:t xml:space="preserve">gefragt </w:t>
      </w:r>
      <w:r w:rsidRPr="00743A83">
        <w:rPr>
          <w:rStyle w:val="etgHeaderContdSubject"/>
          <w:color w:val="auto"/>
          <w:sz w:val="22"/>
          <w:lang w:val="de-CH"/>
        </w:rPr>
        <w:t>wurden</w:t>
      </w:r>
      <w:r w:rsidR="00A150D5" w:rsidRPr="00743A83">
        <w:rPr>
          <w:rStyle w:val="etgHeaderContdSubject"/>
          <w:color w:val="auto"/>
          <w:sz w:val="22"/>
          <w:lang w:val="de-CH"/>
        </w:rPr>
        <w:t xml:space="preserve"> SUVs und Geländewagen (</w:t>
      </w:r>
      <w:r w:rsidRPr="00743A83">
        <w:rPr>
          <w:rStyle w:val="etgHeaderContdSubject"/>
          <w:color w:val="auto"/>
          <w:sz w:val="22"/>
          <w:lang w:val="de-CH"/>
        </w:rPr>
        <w:t>81</w:t>
      </w:r>
      <w:r w:rsidR="00A150D5" w:rsidRPr="00743A83">
        <w:rPr>
          <w:rStyle w:val="etgHeaderContdSubject"/>
          <w:color w:val="auto"/>
          <w:sz w:val="22"/>
          <w:lang w:val="de-CH"/>
        </w:rPr>
        <w:t xml:space="preserve"> Tage, </w:t>
      </w:r>
      <w:r w:rsidRPr="00743A83">
        <w:rPr>
          <w:rStyle w:val="etgHeaderContdSubject"/>
          <w:color w:val="auto"/>
          <w:sz w:val="22"/>
          <w:lang w:val="de-CH"/>
        </w:rPr>
        <w:t>-9,0%</w:t>
      </w:r>
      <w:r w:rsidR="00A150D5" w:rsidRPr="00743A83">
        <w:rPr>
          <w:rStyle w:val="etgHeaderContdSubject"/>
          <w:color w:val="auto"/>
          <w:sz w:val="22"/>
          <w:lang w:val="de-CH"/>
        </w:rPr>
        <w:t xml:space="preserve">), </w:t>
      </w:r>
      <w:r w:rsidR="00331F0C" w:rsidRPr="00743A83">
        <w:rPr>
          <w:rStyle w:val="etgHeaderContdSubject"/>
          <w:color w:val="auto"/>
          <w:sz w:val="22"/>
          <w:lang w:val="de-CH"/>
        </w:rPr>
        <w:t xml:space="preserve">Kleinwagen (89 Tage, -4,3%) und Fahrzeuge der Unteren Mittelklasse (90 Tage; -6,3%). Etwas länger stehen Occasionen der Mittelklasse (96 Tage, -6,8%), Fahrzeuge der </w:t>
      </w:r>
      <w:proofErr w:type="spellStart"/>
      <w:r w:rsidR="00331F0C" w:rsidRPr="00743A83">
        <w:rPr>
          <w:rStyle w:val="etgHeaderContdSubject"/>
          <w:color w:val="auto"/>
          <w:sz w:val="22"/>
          <w:lang w:val="de-CH"/>
        </w:rPr>
        <w:t>Microklasse</w:t>
      </w:r>
      <w:proofErr w:type="spellEnd"/>
      <w:r w:rsidR="00331F0C" w:rsidRPr="00743A83">
        <w:rPr>
          <w:rStyle w:val="etgHeaderContdSubject"/>
          <w:color w:val="auto"/>
          <w:sz w:val="22"/>
          <w:lang w:val="de-CH"/>
        </w:rPr>
        <w:t xml:space="preserve"> (97 Tage, -5,8%), Kompakt- und Minivans (98 Tage, -7,6%), Gebrauchtwagen der Oberen Mittelklasse (103 Tage, -7,2%), Coupés (115 Tage, –5,0%), Cabriolets und Roadster (121 Tage, -3,2%) sowie Vertreter der Luxusklasse (122 </w:t>
      </w:r>
      <w:r w:rsidR="00D6172D" w:rsidRPr="00743A83">
        <w:rPr>
          <w:rStyle w:val="etgHeaderContdSubject"/>
          <w:color w:val="auto"/>
          <w:sz w:val="22"/>
          <w:lang w:val="de-CH"/>
        </w:rPr>
        <w:t>Tage</w:t>
      </w:r>
      <w:r w:rsidR="00331F0C" w:rsidRPr="00743A83">
        <w:rPr>
          <w:rStyle w:val="etgHeaderContdSubject"/>
          <w:color w:val="auto"/>
          <w:sz w:val="22"/>
          <w:lang w:val="de-CH"/>
        </w:rPr>
        <w:t>, -6,9%) auf dem Hof</w:t>
      </w:r>
      <w:r w:rsidR="00CB5E65">
        <w:rPr>
          <w:rStyle w:val="etgHeaderContdSubject"/>
          <w:color w:val="auto"/>
          <w:sz w:val="22"/>
          <w:lang w:val="de-CH"/>
        </w:rPr>
        <w:t xml:space="preserve"> der Gebrauchtwagenhändler</w:t>
      </w:r>
      <w:r w:rsidR="00331F0C" w:rsidRPr="00743A83">
        <w:rPr>
          <w:rStyle w:val="etgHeaderContdSubject"/>
          <w:color w:val="auto"/>
          <w:sz w:val="22"/>
          <w:lang w:val="de-CH"/>
        </w:rPr>
        <w:t>.</w:t>
      </w:r>
    </w:p>
    <w:p w:rsidR="007D37A7" w:rsidRPr="00743A83" w:rsidRDefault="007D37A7" w:rsidP="007D37A7">
      <w:pPr>
        <w:pStyle w:val="etgLead"/>
        <w:spacing w:before="0" w:after="0" w:line="240" w:lineRule="auto"/>
        <w:rPr>
          <w:rStyle w:val="etgHeaderContdSubject"/>
          <w:color w:val="auto"/>
          <w:sz w:val="16"/>
          <w:szCs w:val="16"/>
          <w:lang w:val="de-CH"/>
        </w:rPr>
      </w:pPr>
    </w:p>
    <w:p w:rsidR="007D37A7" w:rsidRPr="00743A83" w:rsidRDefault="007D37A7" w:rsidP="007D37A7">
      <w:pPr>
        <w:pStyle w:val="etgLead"/>
        <w:spacing w:before="120" w:after="0" w:line="240" w:lineRule="auto"/>
        <w:rPr>
          <w:rStyle w:val="etgHeaderContdSubject"/>
          <w:b/>
          <w:color w:val="auto"/>
          <w:sz w:val="16"/>
          <w:szCs w:val="16"/>
          <w:lang w:val="de-CH"/>
        </w:rPr>
      </w:pPr>
      <w:r w:rsidRPr="00743A83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(7'</w:t>
      </w:r>
      <w:r w:rsidR="00F6565A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7</w:t>
      </w:r>
      <w:r w:rsidR="002F2172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1</w:t>
      </w:r>
      <w:r w:rsidR="00D7518C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8</w:t>
      </w:r>
      <w:r w:rsidRPr="00743A83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 xml:space="preserve"> Zeichen mit / </w:t>
      </w:r>
      <w:r w:rsidR="006E1CAB" w:rsidRPr="00743A83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7</w:t>
      </w:r>
      <w:r w:rsidRPr="00743A83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'</w:t>
      </w:r>
      <w:r w:rsidR="003C256D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2</w:t>
      </w:r>
      <w:r w:rsidR="002F2172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5</w:t>
      </w:r>
      <w:r w:rsidR="00D7518C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>4</w:t>
      </w:r>
      <w:r w:rsidRPr="00743A83">
        <w:rPr>
          <w:b w:val="0"/>
          <w:i/>
          <w:iCs/>
          <w:snapToGrid/>
          <w:color w:val="auto"/>
          <w:sz w:val="18"/>
          <w:szCs w:val="18"/>
          <w:lang w:val="de-CH" w:eastAsia="de-CH"/>
        </w:rPr>
        <w:t xml:space="preserve"> ohne Tabelle)</w:t>
      </w:r>
    </w:p>
    <w:p w:rsidR="007D37A7" w:rsidRPr="00743A83" w:rsidRDefault="007D37A7" w:rsidP="007D37A7">
      <w:pPr>
        <w:pStyle w:val="Textkrper2"/>
        <w:spacing w:line="240" w:lineRule="auto"/>
        <w:rPr>
          <w:i w:val="0"/>
          <w:color w:val="auto"/>
          <w:szCs w:val="22"/>
          <w:u w:val="none"/>
          <w:lang w:val="de-CH"/>
        </w:rPr>
      </w:pPr>
      <w:r w:rsidRPr="00743A83">
        <w:rPr>
          <w:b w:val="0"/>
          <w:i w:val="0"/>
          <w:color w:val="auto"/>
          <w:szCs w:val="22"/>
          <w:u w:val="none"/>
          <w:lang w:val="de-CH"/>
        </w:rPr>
        <w:br w:type="page"/>
      </w:r>
      <w:r w:rsidRPr="00743A83">
        <w:rPr>
          <w:i w:val="0"/>
          <w:color w:val="auto"/>
          <w:szCs w:val="22"/>
          <w:u w:val="none"/>
          <w:lang w:val="de-CH"/>
        </w:rPr>
        <w:lastRenderedPageBreak/>
        <w:t>Über Eurotax</w:t>
      </w:r>
    </w:p>
    <w:p w:rsidR="007D37A7" w:rsidRPr="00743A83" w:rsidRDefault="007D37A7" w:rsidP="007D37A7">
      <w:pPr>
        <w:pStyle w:val="etgLead"/>
        <w:spacing w:after="120" w:line="320" w:lineRule="atLeast"/>
        <w:rPr>
          <w:rStyle w:val="etgHeaderContdSubject"/>
          <w:color w:val="auto"/>
          <w:sz w:val="22"/>
          <w:szCs w:val="22"/>
          <w:lang w:val="de-CH"/>
        </w:rPr>
      </w:pPr>
      <w:r w:rsidRPr="00743A83">
        <w:rPr>
          <w:rStyle w:val="etgHeaderContdSubject"/>
          <w:color w:val="auto"/>
          <w:sz w:val="22"/>
          <w:szCs w:val="22"/>
          <w:lang w:val="de-CH"/>
        </w:rPr>
        <w:t>Eurotax Schweiz ist Teil der EurotaxGlass’s Gruppe, Europas führendem Anbieter von I</w:t>
      </w:r>
      <w:r w:rsidRPr="00743A83">
        <w:rPr>
          <w:rStyle w:val="etgHeaderContdSubject"/>
          <w:color w:val="auto"/>
          <w:sz w:val="22"/>
          <w:szCs w:val="22"/>
          <w:lang w:val="de-CH"/>
        </w:rPr>
        <w:t>n</w:t>
      </w:r>
      <w:r w:rsidRPr="00743A83">
        <w:rPr>
          <w:rStyle w:val="etgHeaderContdSubject"/>
          <w:color w:val="auto"/>
          <w:sz w:val="22"/>
          <w:szCs w:val="22"/>
          <w:lang w:val="de-CH"/>
        </w:rPr>
        <w:t>formationen, Daten, Publikationen und Dienstleistun</w:t>
      </w:r>
      <w:r w:rsidR="004B2DB7" w:rsidRPr="00743A83">
        <w:rPr>
          <w:rStyle w:val="etgHeaderContdSubject"/>
          <w:color w:val="auto"/>
          <w:sz w:val="22"/>
          <w:szCs w:val="22"/>
          <w:lang w:val="de-CH"/>
        </w:rPr>
        <w:t>gen rund um Fahrzeuge aller Art.</w:t>
      </w:r>
      <w:r w:rsidRPr="00743A83">
        <w:rPr>
          <w:rStyle w:val="etgHeaderContdSubject"/>
          <w:color w:val="auto"/>
          <w:sz w:val="22"/>
          <w:szCs w:val="22"/>
          <w:lang w:val="de-CH"/>
        </w:rPr>
        <w:t xml:space="preserve"> Eur</w:t>
      </w:r>
      <w:r w:rsidRPr="00743A83">
        <w:rPr>
          <w:rStyle w:val="etgHeaderContdSubject"/>
          <w:color w:val="auto"/>
          <w:sz w:val="22"/>
          <w:szCs w:val="22"/>
          <w:lang w:val="de-CH"/>
        </w:rPr>
        <w:t>o</w:t>
      </w:r>
      <w:r w:rsidRPr="00743A83">
        <w:rPr>
          <w:rStyle w:val="etgHeaderContdSubject"/>
          <w:color w:val="auto"/>
          <w:sz w:val="22"/>
          <w:szCs w:val="22"/>
          <w:lang w:val="de-CH"/>
        </w:rPr>
        <w:t>tax schafft mit aktuellen, unabhängigen Daten Markttransparenz für die gesamte Automobi</w:t>
      </w:r>
      <w:r w:rsidRPr="00743A83">
        <w:rPr>
          <w:rStyle w:val="etgHeaderContdSubject"/>
          <w:color w:val="auto"/>
          <w:sz w:val="22"/>
          <w:szCs w:val="22"/>
          <w:lang w:val="de-CH"/>
        </w:rPr>
        <w:t>l</w:t>
      </w:r>
      <w:r w:rsidRPr="00743A83">
        <w:rPr>
          <w:rStyle w:val="etgHeaderContdSubject"/>
          <w:color w:val="auto"/>
          <w:sz w:val="22"/>
          <w:szCs w:val="22"/>
          <w:lang w:val="de-CH"/>
        </w:rPr>
        <w:t>branche.</w:t>
      </w:r>
    </w:p>
    <w:p w:rsidR="007D37A7" w:rsidRPr="00743A83" w:rsidRDefault="007D37A7" w:rsidP="007D37A7">
      <w:pPr>
        <w:pStyle w:val="Textkrper2"/>
        <w:rPr>
          <w:i w:val="0"/>
          <w:color w:val="auto"/>
          <w:szCs w:val="22"/>
          <w:lang w:val="de-CH"/>
        </w:rPr>
      </w:pPr>
    </w:p>
    <w:p w:rsidR="007D37A7" w:rsidRPr="00743A83" w:rsidRDefault="007D37A7" w:rsidP="007D37A7">
      <w:pPr>
        <w:pStyle w:val="Textkrper2"/>
        <w:rPr>
          <w:i w:val="0"/>
          <w:color w:val="auto"/>
          <w:szCs w:val="22"/>
          <w:u w:val="none"/>
          <w:lang w:val="de-CH"/>
        </w:rPr>
      </w:pPr>
      <w:r w:rsidRPr="00743A83">
        <w:rPr>
          <w:i w:val="0"/>
          <w:color w:val="auto"/>
          <w:szCs w:val="22"/>
          <w:u w:val="none"/>
          <w:lang w:val="de-CH"/>
        </w:rPr>
        <w:t>Über den Auto Gewerbe Verband Schweiz (AGVS)</w:t>
      </w:r>
    </w:p>
    <w:p w:rsidR="007D37A7" w:rsidRPr="00743A83" w:rsidRDefault="007D37A7" w:rsidP="007D37A7">
      <w:pPr>
        <w:pStyle w:val="etgLead"/>
        <w:spacing w:after="120" w:line="320" w:lineRule="atLeast"/>
        <w:rPr>
          <w:rStyle w:val="etgHeaderContdSubject"/>
          <w:color w:val="auto"/>
          <w:sz w:val="22"/>
          <w:szCs w:val="22"/>
          <w:lang w:val="de-CH"/>
        </w:rPr>
      </w:pPr>
      <w:r w:rsidRPr="00743A83">
        <w:rPr>
          <w:rStyle w:val="etgHeaderContdSubject"/>
          <w:color w:val="auto"/>
          <w:sz w:val="22"/>
          <w:szCs w:val="22"/>
          <w:lang w:val="de-CH"/>
        </w:rPr>
        <w:t>1927 gegründet, versteht sich der AGVS als dynamischer und zukunftsorientierter Bra</w:t>
      </w:r>
      <w:r w:rsidRPr="00743A83">
        <w:rPr>
          <w:rStyle w:val="etgHeaderContdSubject"/>
          <w:color w:val="auto"/>
          <w:sz w:val="22"/>
          <w:szCs w:val="22"/>
          <w:lang w:val="de-CH"/>
        </w:rPr>
        <w:t>n</w:t>
      </w:r>
      <w:r w:rsidRPr="00743A83">
        <w:rPr>
          <w:rStyle w:val="etgHeaderContdSubject"/>
          <w:color w:val="auto"/>
          <w:sz w:val="22"/>
          <w:szCs w:val="22"/>
          <w:lang w:val="de-CH"/>
        </w:rPr>
        <w:t>chen- und Berufsverband der Schweizer Garagisten. Rund 4</w:t>
      </w:r>
      <w:r w:rsidRPr="00743A83">
        <w:rPr>
          <w:rStyle w:val="etgHeaderContdSubject"/>
          <w:color w:val="auto"/>
          <w:sz w:val="22"/>
          <w:lang w:val="de-CH"/>
        </w:rPr>
        <w:t>’</w:t>
      </w:r>
      <w:r w:rsidRPr="00743A83">
        <w:rPr>
          <w:rStyle w:val="etgHeaderContdSubject"/>
          <w:color w:val="auto"/>
          <w:sz w:val="22"/>
          <w:szCs w:val="22"/>
          <w:lang w:val="de-CH"/>
        </w:rPr>
        <w:t>000 kleine, mittlere und gröss</w:t>
      </w:r>
      <w:r w:rsidRPr="00743A83">
        <w:rPr>
          <w:rStyle w:val="etgHeaderContdSubject"/>
          <w:color w:val="auto"/>
          <w:sz w:val="22"/>
          <w:szCs w:val="22"/>
          <w:lang w:val="de-CH"/>
        </w:rPr>
        <w:t>e</w:t>
      </w:r>
      <w:r w:rsidRPr="00743A83">
        <w:rPr>
          <w:rStyle w:val="etgHeaderContdSubject"/>
          <w:color w:val="auto"/>
          <w:sz w:val="22"/>
          <w:szCs w:val="22"/>
          <w:lang w:val="de-CH"/>
        </w:rPr>
        <w:t>re Unternehmen, Markenvertretungen sowie unabhängige Betriebe sind Mitglied beim AGVS. Die insgesamt 39’000 Mitarbeitenden in den AGVS-Betrieben – davon um 8</w:t>
      </w:r>
      <w:r w:rsidRPr="00743A83">
        <w:rPr>
          <w:rStyle w:val="etgHeaderContdSubject"/>
          <w:color w:val="auto"/>
          <w:sz w:val="22"/>
          <w:lang w:val="de-CH"/>
        </w:rPr>
        <w:t>’</w:t>
      </w:r>
      <w:r w:rsidRPr="00743A83">
        <w:rPr>
          <w:rStyle w:val="etgHeaderContdSubject"/>
          <w:color w:val="auto"/>
          <w:sz w:val="22"/>
          <w:szCs w:val="22"/>
          <w:lang w:val="de-CH"/>
        </w:rPr>
        <w:t>500 in der Aus- und Weiterbildung stehende Nachwuchskräfte – verkaufen, warten und reparieren den grössten Teil des Schweizer Fuhrparks mit rund 5,5 Millionen Fahrzeugen.</w:t>
      </w:r>
    </w:p>
    <w:p w:rsidR="007D37A7" w:rsidRPr="00743A83" w:rsidRDefault="007D37A7" w:rsidP="0039488D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pStyle w:val="etgLead"/>
        <w:spacing w:before="60" w:after="0"/>
        <w:rPr>
          <w:b w:val="0"/>
          <w:color w:val="auto"/>
          <w:lang w:val="de-CH"/>
        </w:rPr>
      </w:pPr>
    </w:p>
    <w:p w:rsidR="00E32E88" w:rsidRPr="00743A83" w:rsidRDefault="00E32E88" w:rsidP="0039488D">
      <w:pPr>
        <w:pStyle w:val="etgLead"/>
        <w:spacing w:before="60" w:after="0"/>
        <w:rPr>
          <w:b w:val="0"/>
          <w:color w:val="auto"/>
          <w:lang w:val="de-CH"/>
        </w:rPr>
      </w:pPr>
    </w:p>
    <w:p w:rsidR="00E32E88" w:rsidRPr="00743A83" w:rsidRDefault="00E32E88" w:rsidP="0039488D">
      <w:pPr>
        <w:pStyle w:val="etgLead"/>
        <w:spacing w:before="60" w:after="0"/>
        <w:rPr>
          <w:b w:val="0"/>
          <w:color w:val="auto"/>
          <w:lang w:val="de-CH"/>
        </w:rPr>
      </w:pPr>
    </w:p>
    <w:p w:rsidR="0039488D" w:rsidRPr="00743A83" w:rsidRDefault="0039488D" w:rsidP="0039488D">
      <w:pPr>
        <w:pStyle w:val="etgLead"/>
        <w:spacing w:before="60" w:after="0"/>
        <w:rPr>
          <w:b w:val="0"/>
          <w:color w:val="auto"/>
          <w:lang w:val="de-CH"/>
        </w:rPr>
      </w:pPr>
    </w:p>
    <w:p w:rsidR="007D37A7" w:rsidRPr="00743A83" w:rsidRDefault="007D37A7" w:rsidP="007D37A7">
      <w:pPr>
        <w:spacing w:before="60" w:after="0" w:line="360" w:lineRule="auto"/>
        <w:jc w:val="both"/>
        <w:rPr>
          <w:rFonts w:ascii="Arial" w:eastAsia="Times New Roman" w:hAnsi="Arial" w:cs="Arial"/>
          <w:b/>
          <w:bCs/>
          <w:snapToGrid w:val="0"/>
          <w:szCs w:val="20"/>
          <w:lang w:val="de-CH" w:eastAsia="de-DE"/>
        </w:rPr>
      </w:pPr>
      <w:r w:rsidRPr="00743A83">
        <w:rPr>
          <w:rFonts w:ascii="Arial" w:eastAsia="Times New Roman" w:hAnsi="Arial" w:cs="Arial"/>
          <w:b/>
          <w:bCs/>
          <w:snapToGrid w:val="0"/>
          <w:szCs w:val="20"/>
          <w:lang w:val="de-CH" w:eastAsia="de-DE"/>
        </w:rPr>
        <w:t>Bei Interesse an weiteren Informationen wenden Sie sich bitte an:</w:t>
      </w:r>
    </w:p>
    <w:p w:rsidR="007D37A7" w:rsidRPr="00743A83" w:rsidRDefault="007D37A7" w:rsidP="0039488D">
      <w:pPr>
        <w:pStyle w:val="etgLead"/>
        <w:spacing w:before="60" w:after="0"/>
        <w:rPr>
          <w:b w:val="0"/>
          <w:color w:val="auto"/>
          <w:lang w:val="de-CH"/>
        </w:rPr>
      </w:pPr>
    </w:p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082"/>
        <w:gridCol w:w="4082"/>
      </w:tblGrid>
      <w:tr w:rsidR="007D37A7" w:rsidRPr="00743A83" w:rsidTr="00815EBF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815EBF">
            <w:pPr>
              <w:spacing w:after="0" w:line="220" w:lineRule="atLeast"/>
              <w:ind w:left="-57" w:right="170"/>
              <w:jc w:val="right"/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z w:val="12"/>
                <w:szCs w:val="12"/>
                <w:lang w:val="de-CH" w:eastAsia="de-DE"/>
              </w:rPr>
              <w:t>Kontak</w:t>
            </w:r>
            <w:r w:rsidRPr="00743A83"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  <w:t>t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tLeas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Eurotax Schweiz</w:t>
            </w:r>
          </w:p>
          <w:p w:rsidR="007D37A7" w:rsidRPr="00743A83" w:rsidRDefault="007D37A7" w:rsidP="007D3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Céline Tambour</w:t>
            </w:r>
          </w:p>
          <w:p w:rsidR="007D37A7" w:rsidRPr="00743A83" w:rsidRDefault="007D37A7" w:rsidP="007D3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Marketing-Manager</w:t>
            </w:r>
          </w:p>
          <w:p w:rsidR="007D37A7" w:rsidRPr="00743A83" w:rsidRDefault="007D37A7" w:rsidP="007D37A7">
            <w:pPr>
              <w:spacing w:after="0" w:line="240" w:lineRule="atLeas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Wolleraustrasse 11a</w:t>
            </w:r>
          </w:p>
          <w:p w:rsidR="007D37A7" w:rsidRPr="00743A83" w:rsidRDefault="007D37A7" w:rsidP="007D37A7">
            <w:pPr>
              <w:spacing w:after="0" w:line="240" w:lineRule="atLeas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8807 Freienbach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tLeast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Auto Gewerbe Verband Schweiz (AGVS)</w:t>
            </w:r>
          </w:p>
          <w:p w:rsidR="007D37A7" w:rsidRPr="00743A83" w:rsidRDefault="007D37A7" w:rsidP="007D3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val="de-CH" w:eastAsia="de-DE"/>
              </w:rPr>
              <w:t>Katrin Portmann</w:t>
            </w:r>
          </w:p>
          <w:p w:rsidR="007D37A7" w:rsidRPr="00743A83" w:rsidRDefault="007D37A7" w:rsidP="007D37A7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Mitglied der Geschäftsleitung</w:t>
            </w:r>
          </w:p>
          <w:p w:rsidR="007D37A7" w:rsidRPr="00743A83" w:rsidRDefault="005169D7" w:rsidP="007D37A7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Wölflistrasse 5</w:t>
            </w:r>
            <w:r w:rsidR="007D37A7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 xml:space="preserve"> / Postfach </w:t>
            </w: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64</w:t>
            </w:r>
          </w:p>
          <w:p w:rsidR="007D37A7" w:rsidRPr="00743A83" w:rsidRDefault="007D37A7" w:rsidP="007D37A7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300</w:t>
            </w:r>
            <w:r w:rsidR="005169D7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>0</w:t>
            </w:r>
            <w:r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 xml:space="preserve"> Bern</w:t>
            </w:r>
            <w:r w:rsidR="005169D7" w:rsidRPr="00743A83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de-CH" w:eastAsia="de-DE"/>
              </w:rPr>
              <w:t xml:space="preserve"> 22</w:t>
            </w:r>
          </w:p>
        </w:tc>
      </w:tr>
      <w:tr w:rsidR="007D37A7" w:rsidRPr="00743A83" w:rsidTr="00815EBF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815EBF">
            <w:pPr>
              <w:spacing w:after="0" w:line="220" w:lineRule="atLeast"/>
              <w:ind w:left="-57" w:right="170"/>
              <w:jc w:val="right"/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  <w:t>Telefon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tLeast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055 415 81 00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tLeast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031 307 15 15</w:t>
            </w:r>
          </w:p>
        </w:tc>
      </w:tr>
      <w:tr w:rsidR="007D37A7" w:rsidRPr="00743A83" w:rsidTr="00815EBF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815EBF">
            <w:pPr>
              <w:spacing w:after="0" w:line="220" w:lineRule="atLeast"/>
              <w:ind w:left="-57" w:right="170"/>
              <w:jc w:val="right"/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  <w:t>Direktwahl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tLeast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055 415 82 18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tLeast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031 307 15 37</w:t>
            </w:r>
          </w:p>
        </w:tc>
      </w:tr>
      <w:tr w:rsidR="007D37A7" w:rsidRPr="00743A83" w:rsidTr="00815EBF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815EBF">
            <w:pPr>
              <w:spacing w:after="0" w:line="220" w:lineRule="atLeast"/>
              <w:ind w:left="-57" w:right="170"/>
              <w:jc w:val="right"/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  <w:t>Telefax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tLeast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055 415 82 00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tLeast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031 307 15 16</w:t>
            </w:r>
          </w:p>
        </w:tc>
      </w:tr>
      <w:tr w:rsidR="007D37A7" w:rsidRPr="00743A83" w:rsidTr="00815EBF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815EBF">
            <w:pPr>
              <w:spacing w:after="0" w:line="220" w:lineRule="atLeast"/>
              <w:ind w:left="-57" w:right="170"/>
              <w:jc w:val="right"/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  <w:t>E-Mail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celine.tambour@eurotax.ch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D37A7" w:rsidRPr="00743A83" w:rsidRDefault="007D37A7" w:rsidP="007D37A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katrin.portmann@agvs.ch</w:t>
            </w:r>
          </w:p>
        </w:tc>
      </w:tr>
      <w:tr w:rsidR="00815EBF" w:rsidRPr="00743A83" w:rsidTr="00815EBF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BF" w:rsidRPr="00743A83" w:rsidRDefault="00815EBF" w:rsidP="00815EBF">
            <w:pPr>
              <w:spacing w:after="0" w:line="220" w:lineRule="atLeast"/>
              <w:ind w:left="-57" w:right="170"/>
              <w:jc w:val="right"/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12"/>
                <w:szCs w:val="12"/>
                <w:lang w:val="de-CH" w:eastAsia="de-DE"/>
              </w:rPr>
              <w:t>Internet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15EBF" w:rsidRPr="00743A83" w:rsidRDefault="00815EBF" w:rsidP="007D37A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www.eurotaxpro.ch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15EBF" w:rsidRPr="00743A83" w:rsidRDefault="00815EBF" w:rsidP="007D37A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</w:pPr>
            <w:r w:rsidRPr="00743A83">
              <w:rPr>
                <w:rFonts w:ascii="Arial" w:eastAsia="Times New Roman" w:hAnsi="Arial" w:cs="Arial"/>
                <w:snapToGrid w:val="0"/>
                <w:sz w:val="20"/>
                <w:szCs w:val="20"/>
                <w:lang w:val="de-CH" w:eastAsia="de-DE"/>
              </w:rPr>
              <w:t>www.agvs.ch</w:t>
            </w:r>
          </w:p>
        </w:tc>
      </w:tr>
    </w:tbl>
    <w:p w:rsidR="00F91779" w:rsidRPr="00743A83" w:rsidRDefault="00F91779" w:rsidP="00E32E88">
      <w:pPr>
        <w:pStyle w:val="etgLead"/>
        <w:spacing w:before="0" w:after="0" w:line="240" w:lineRule="auto"/>
        <w:rPr>
          <w:color w:val="auto"/>
          <w:sz w:val="2"/>
          <w:szCs w:val="2"/>
          <w:lang w:val="de-CH"/>
        </w:rPr>
      </w:pPr>
    </w:p>
    <w:sectPr w:rsidR="00F91779" w:rsidRPr="00743A83" w:rsidSect="00815EBF">
      <w:headerReference w:type="default" r:id="rId8"/>
      <w:footerReference w:type="default" r:id="rId9"/>
      <w:pgSz w:w="11906" w:h="16838" w:code="9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F7" w:rsidRDefault="00056CF7" w:rsidP="00264D6C">
      <w:pPr>
        <w:spacing w:after="0" w:line="240" w:lineRule="auto"/>
      </w:pPr>
      <w:r>
        <w:separator/>
      </w:r>
    </w:p>
  </w:endnote>
  <w:endnote w:type="continuationSeparator" w:id="0">
    <w:p w:rsidR="00056CF7" w:rsidRDefault="00056CF7" w:rsidP="00264D6C">
      <w:pPr>
        <w:spacing w:after="0" w:line="240" w:lineRule="auto"/>
      </w:pPr>
      <w:r>
        <w:continuationSeparator/>
      </w:r>
    </w:p>
  </w:endnote>
  <w:endnote w:type="continuationNotice" w:id="1">
    <w:p w:rsidR="00056CF7" w:rsidRDefault="00056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F7" w:rsidRDefault="00056CF7" w:rsidP="00702EF2">
    <w:pPr>
      <w:pStyle w:val="Fuzeile"/>
      <w:jc w:val="right"/>
    </w:pPr>
    <w:r w:rsidRPr="0022160F">
      <w:rPr>
        <w:rFonts w:ascii="Arial" w:hAnsi="Arial" w:cs="Arial"/>
        <w:sz w:val="18"/>
        <w:szCs w:val="18"/>
        <w:lang w:val="de-CH"/>
      </w:rPr>
      <w:t xml:space="preserve">S. </w:t>
    </w:r>
    <w:r w:rsidRPr="0022160F">
      <w:rPr>
        <w:rFonts w:ascii="Arial" w:hAnsi="Arial" w:cs="Arial"/>
        <w:sz w:val="18"/>
        <w:szCs w:val="18"/>
        <w:lang w:val="de-CH"/>
      </w:rPr>
      <w:fldChar w:fldCharType="begin"/>
    </w:r>
    <w:r w:rsidRPr="0022160F">
      <w:rPr>
        <w:rFonts w:ascii="Arial" w:hAnsi="Arial" w:cs="Arial"/>
        <w:sz w:val="18"/>
        <w:szCs w:val="18"/>
        <w:lang w:val="de-CH"/>
      </w:rPr>
      <w:instrText>PAGE   \* MERGEFORMAT</w:instrText>
    </w:r>
    <w:r w:rsidRPr="0022160F">
      <w:rPr>
        <w:rFonts w:ascii="Arial" w:hAnsi="Arial" w:cs="Arial"/>
        <w:sz w:val="18"/>
        <w:szCs w:val="18"/>
        <w:lang w:val="de-CH"/>
      </w:rPr>
      <w:fldChar w:fldCharType="separate"/>
    </w:r>
    <w:r w:rsidR="000C45D8" w:rsidRPr="000C45D8">
      <w:rPr>
        <w:rFonts w:ascii="Arial" w:hAnsi="Arial" w:cs="Arial"/>
        <w:noProof/>
        <w:sz w:val="18"/>
        <w:szCs w:val="18"/>
        <w:lang w:val="de-DE"/>
      </w:rPr>
      <w:t>1</w:t>
    </w:r>
    <w:r w:rsidRPr="0022160F">
      <w:rPr>
        <w:rFonts w:ascii="Arial" w:hAnsi="Arial" w:cs="Arial"/>
        <w:sz w:val="18"/>
        <w:szCs w:val="18"/>
        <w:lang w:val="de-CH"/>
      </w:rPr>
      <w:fldChar w:fldCharType="end"/>
    </w:r>
    <w:r w:rsidRPr="0022160F">
      <w:rPr>
        <w:rFonts w:ascii="Arial" w:hAnsi="Arial" w:cs="Arial"/>
        <w:sz w:val="18"/>
        <w:szCs w:val="18"/>
        <w:lang w:val="de-CH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F7" w:rsidRDefault="00056CF7" w:rsidP="00264D6C">
      <w:pPr>
        <w:spacing w:after="0" w:line="240" w:lineRule="auto"/>
      </w:pPr>
      <w:r>
        <w:separator/>
      </w:r>
    </w:p>
  </w:footnote>
  <w:footnote w:type="continuationSeparator" w:id="0">
    <w:p w:rsidR="00056CF7" w:rsidRDefault="00056CF7" w:rsidP="00264D6C">
      <w:pPr>
        <w:spacing w:after="0" w:line="240" w:lineRule="auto"/>
      </w:pPr>
      <w:r>
        <w:continuationSeparator/>
      </w:r>
    </w:p>
  </w:footnote>
  <w:footnote w:type="continuationNotice" w:id="1">
    <w:p w:rsidR="00056CF7" w:rsidRDefault="00056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F7" w:rsidRDefault="001243ED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17780</wp:posOffset>
          </wp:positionV>
          <wp:extent cx="2258060" cy="580390"/>
          <wp:effectExtent l="0" t="0" r="8890" b="0"/>
          <wp:wrapNone/>
          <wp:docPr id="3" name="Bild 1" descr="AGVS_d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GVS_d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83820</wp:posOffset>
          </wp:positionV>
          <wp:extent cx="1352550" cy="200025"/>
          <wp:effectExtent l="0" t="0" r="0" b="9525"/>
          <wp:wrapThrough wrapText="bothSides">
            <wp:wrapPolygon edited="0">
              <wp:start x="0" y="0"/>
              <wp:lineTo x="0" y="20571"/>
              <wp:lineTo x="21296" y="20571"/>
              <wp:lineTo x="21296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consecutiveHyphenLimit w:val="3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6C"/>
    <w:rsid w:val="000100EB"/>
    <w:rsid w:val="000164EB"/>
    <w:rsid w:val="00030439"/>
    <w:rsid w:val="00032F72"/>
    <w:rsid w:val="00044468"/>
    <w:rsid w:val="0005006B"/>
    <w:rsid w:val="00050124"/>
    <w:rsid w:val="00056CF7"/>
    <w:rsid w:val="00061D23"/>
    <w:rsid w:val="00071D5E"/>
    <w:rsid w:val="00072BF2"/>
    <w:rsid w:val="000764A5"/>
    <w:rsid w:val="000812DE"/>
    <w:rsid w:val="000A16FD"/>
    <w:rsid w:val="000C2750"/>
    <w:rsid w:val="000C45D8"/>
    <w:rsid w:val="001020A6"/>
    <w:rsid w:val="001124F0"/>
    <w:rsid w:val="001167C7"/>
    <w:rsid w:val="0012041B"/>
    <w:rsid w:val="001231DD"/>
    <w:rsid w:val="001243ED"/>
    <w:rsid w:val="001365D9"/>
    <w:rsid w:val="00141B41"/>
    <w:rsid w:val="00153983"/>
    <w:rsid w:val="00162073"/>
    <w:rsid w:val="001629AB"/>
    <w:rsid w:val="00163398"/>
    <w:rsid w:val="00184C2C"/>
    <w:rsid w:val="00196051"/>
    <w:rsid w:val="001A0A16"/>
    <w:rsid w:val="001A2AF5"/>
    <w:rsid w:val="001C5949"/>
    <w:rsid w:val="001D2D56"/>
    <w:rsid w:val="001D67F7"/>
    <w:rsid w:val="001E40A4"/>
    <w:rsid w:val="001F067A"/>
    <w:rsid w:val="001F2EBB"/>
    <w:rsid w:val="001F69C2"/>
    <w:rsid w:val="002010C7"/>
    <w:rsid w:val="00201C1A"/>
    <w:rsid w:val="00212CB9"/>
    <w:rsid w:val="00214609"/>
    <w:rsid w:val="0021468A"/>
    <w:rsid w:val="00220937"/>
    <w:rsid w:val="00223AFD"/>
    <w:rsid w:val="00224CA8"/>
    <w:rsid w:val="0023209E"/>
    <w:rsid w:val="00235819"/>
    <w:rsid w:val="002515FA"/>
    <w:rsid w:val="002576B8"/>
    <w:rsid w:val="00261083"/>
    <w:rsid w:val="00264D6C"/>
    <w:rsid w:val="002813BD"/>
    <w:rsid w:val="00281558"/>
    <w:rsid w:val="00281DA0"/>
    <w:rsid w:val="00287839"/>
    <w:rsid w:val="00291A74"/>
    <w:rsid w:val="002953F1"/>
    <w:rsid w:val="002A1819"/>
    <w:rsid w:val="002A477F"/>
    <w:rsid w:val="002A6A37"/>
    <w:rsid w:val="002B1D75"/>
    <w:rsid w:val="002B21C3"/>
    <w:rsid w:val="002B429F"/>
    <w:rsid w:val="002B524F"/>
    <w:rsid w:val="002B562E"/>
    <w:rsid w:val="002D76B5"/>
    <w:rsid w:val="002E4F58"/>
    <w:rsid w:val="002E720D"/>
    <w:rsid w:val="002F0EAA"/>
    <w:rsid w:val="002F2172"/>
    <w:rsid w:val="002F5353"/>
    <w:rsid w:val="003024A7"/>
    <w:rsid w:val="003075E8"/>
    <w:rsid w:val="00314629"/>
    <w:rsid w:val="00324476"/>
    <w:rsid w:val="003272FC"/>
    <w:rsid w:val="003274AB"/>
    <w:rsid w:val="00327690"/>
    <w:rsid w:val="00331F0C"/>
    <w:rsid w:val="0034034E"/>
    <w:rsid w:val="0036676E"/>
    <w:rsid w:val="003809A2"/>
    <w:rsid w:val="00381D5B"/>
    <w:rsid w:val="0039488D"/>
    <w:rsid w:val="003A0CB2"/>
    <w:rsid w:val="003B45F9"/>
    <w:rsid w:val="003C256D"/>
    <w:rsid w:val="003F2545"/>
    <w:rsid w:val="004063F9"/>
    <w:rsid w:val="00422E98"/>
    <w:rsid w:val="0043036A"/>
    <w:rsid w:val="004350CE"/>
    <w:rsid w:val="004431EA"/>
    <w:rsid w:val="00452EB5"/>
    <w:rsid w:val="004563A1"/>
    <w:rsid w:val="00465436"/>
    <w:rsid w:val="0047709F"/>
    <w:rsid w:val="0048490F"/>
    <w:rsid w:val="004877B9"/>
    <w:rsid w:val="00492F96"/>
    <w:rsid w:val="00496C8A"/>
    <w:rsid w:val="00497721"/>
    <w:rsid w:val="00497A9D"/>
    <w:rsid w:val="004B2DB7"/>
    <w:rsid w:val="004B4F50"/>
    <w:rsid w:val="004C7A50"/>
    <w:rsid w:val="004D00DB"/>
    <w:rsid w:val="004E574F"/>
    <w:rsid w:val="004F01A3"/>
    <w:rsid w:val="004F67D2"/>
    <w:rsid w:val="005147AA"/>
    <w:rsid w:val="005169D7"/>
    <w:rsid w:val="00525E6A"/>
    <w:rsid w:val="0052675D"/>
    <w:rsid w:val="00532651"/>
    <w:rsid w:val="00540011"/>
    <w:rsid w:val="00542AFE"/>
    <w:rsid w:val="00544DF1"/>
    <w:rsid w:val="00547BE9"/>
    <w:rsid w:val="00565C11"/>
    <w:rsid w:val="00587A2D"/>
    <w:rsid w:val="00587DFB"/>
    <w:rsid w:val="00597004"/>
    <w:rsid w:val="005A7224"/>
    <w:rsid w:val="005B0D18"/>
    <w:rsid w:val="005B0E5E"/>
    <w:rsid w:val="005B41C0"/>
    <w:rsid w:val="005B60AE"/>
    <w:rsid w:val="005B7AA5"/>
    <w:rsid w:val="005D0FD0"/>
    <w:rsid w:val="005D1783"/>
    <w:rsid w:val="005D403C"/>
    <w:rsid w:val="005D409A"/>
    <w:rsid w:val="005D43DE"/>
    <w:rsid w:val="005D7772"/>
    <w:rsid w:val="005D78DB"/>
    <w:rsid w:val="005D7E38"/>
    <w:rsid w:val="005F1DA1"/>
    <w:rsid w:val="00600351"/>
    <w:rsid w:val="006011D9"/>
    <w:rsid w:val="00622E50"/>
    <w:rsid w:val="0062339E"/>
    <w:rsid w:val="00627ECD"/>
    <w:rsid w:val="006328AE"/>
    <w:rsid w:val="00634032"/>
    <w:rsid w:val="00644894"/>
    <w:rsid w:val="006451C4"/>
    <w:rsid w:val="0064666B"/>
    <w:rsid w:val="00650BB4"/>
    <w:rsid w:val="0065131F"/>
    <w:rsid w:val="0065194C"/>
    <w:rsid w:val="00655567"/>
    <w:rsid w:val="006557BF"/>
    <w:rsid w:val="0067657A"/>
    <w:rsid w:val="0067673D"/>
    <w:rsid w:val="00681D38"/>
    <w:rsid w:val="00683240"/>
    <w:rsid w:val="006919CA"/>
    <w:rsid w:val="00696887"/>
    <w:rsid w:val="006A5646"/>
    <w:rsid w:val="006B6F43"/>
    <w:rsid w:val="006B7460"/>
    <w:rsid w:val="006E1CAB"/>
    <w:rsid w:val="006E33CB"/>
    <w:rsid w:val="006E3A2B"/>
    <w:rsid w:val="006F1C4D"/>
    <w:rsid w:val="006F1D80"/>
    <w:rsid w:val="00700469"/>
    <w:rsid w:val="00702EF2"/>
    <w:rsid w:val="00730F89"/>
    <w:rsid w:val="00731E92"/>
    <w:rsid w:val="00734DA7"/>
    <w:rsid w:val="00735D99"/>
    <w:rsid w:val="00741633"/>
    <w:rsid w:val="00743A83"/>
    <w:rsid w:val="00747ED7"/>
    <w:rsid w:val="007511A6"/>
    <w:rsid w:val="00751B42"/>
    <w:rsid w:val="007530C3"/>
    <w:rsid w:val="00772F32"/>
    <w:rsid w:val="0077468C"/>
    <w:rsid w:val="00776B22"/>
    <w:rsid w:val="00786317"/>
    <w:rsid w:val="007874C4"/>
    <w:rsid w:val="00793668"/>
    <w:rsid w:val="00797901"/>
    <w:rsid w:val="007A3F1A"/>
    <w:rsid w:val="007B252D"/>
    <w:rsid w:val="007C1D08"/>
    <w:rsid w:val="007D37A7"/>
    <w:rsid w:val="007E1277"/>
    <w:rsid w:val="007F032C"/>
    <w:rsid w:val="008029E9"/>
    <w:rsid w:val="00804228"/>
    <w:rsid w:val="00815EBF"/>
    <w:rsid w:val="008174EC"/>
    <w:rsid w:val="008210AD"/>
    <w:rsid w:val="00825D55"/>
    <w:rsid w:val="00832845"/>
    <w:rsid w:val="00844707"/>
    <w:rsid w:val="00853576"/>
    <w:rsid w:val="008754A3"/>
    <w:rsid w:val="008821CC"/>
    <w:rsid w:val="00890C5F"/>
    <w:rsid w:val="0089109F"/>
    <w:rsid w:val="008966C2"/>
    <w:rsid w:val="008A45F1"/>
    <w:rsid w:val="008B1FB7"/>
    <w:rsid w:val="008B2FFE"/>
    <w:rsid w:val="008D2F09"/>
    <w:rsid w:val="008F6125"/>
    <w:rsid w:val="00914BFD"/>
    <w:rsid w:val="00920CE5"/>
    <w:rsid w:val="0094256E"/>
    <w:rsid w:val="00944593"/>
    <w:rsid w:val="00962229"/>
    <w:rsid w:val="00963B10"/>
    <w:rsid w:val="00970BA3"/>
    <w:rsid w:val="00972138"/>
    <w:rsid w:val="009905C5"/>
    <w:rsid w:val="00994FBC"/>
    <w:rsid w:val="009A3D32"/>
    <w:rsid w:val="009A74D9"/>
    <w:rsid w:val="009A7A30"/>
    <w:rsid w:val="009B5970"/>
    <w:rsid w:val="009E3802"/>
    <w:rsid w:val="009E46F9"/>
    <w:rsid w:val="009E4BD2"/>
    <w:rsid w:val="009F3244"/>
    <w:rsid w:val="00A05AD3"/>
    <w:rsid w:val="00A06E71"/>
    <w:rsid w:val="00A14EB2"/>
    <w:rsid w:val="00A150D5"/>
    <w:rsid w:val="00A23021"/>
    <w:rsid w:val="00A23CB3"/>
    <w:rsid w:val="00A24789"/>
    <w:rsid w:val="00A254FD"/>
    <w:rsid w:val="00A317F7"/>
    <w:rsid w:val="00A33F70"/>
    <w:rsid w:val="00A4662D"/>
    <w:rsid w:val="00A52BDB"/>
    <w:rsid w:val="00A55E26"/>
    <w:rsid w:val="00A636ED"/>
    <w:rsid w:val="00A64D23"/>
    <w:rsid w:val="00A677A9"/>
    <w:rsid w:val="00A76204"/>
    <w:rsid w:val="00A80B41"/>
    <w:rsid w:val="00A82226"/>
    <w:rsid w:val="00A86849"/>
    <w:rsid w:val="00A92FD4"/>
    <w:rsid w:val="00AC0EA1"/>
    <w:rsid w:val="00AC6ACC"/>
    <w:rsid w:val="00AD20C0"/>
    <w:rsid w:val="00AD6F7C"/>
    <w:rsid w:val="00AF3E38"/>
    <w:rsid w:val="00B05577"/>
    <w:rsid w:val="00B12C2A"/>
    <w:rsid w:val="00B142BA"/>
    <w:rsid w:val="00B25B1D"/>
    <w:rsid w:val="00B25ED8"/>
    <w:rsid w:val="00B3366D"/>
    <w:rsid w:val="00B52979"/>
    <w:rsid w:val="00B53133"/>
    <w:rsid w:val="00B55ED7"/>
    <w:rsid w:val="00B56942"/>
    <w:rsid w:val="00B56DAA"/>
    <w:rsid w:val="00B6096E"/>
    <w:rsid w:val="00B731E6"/>
    <w:rsid w:val="00B76C0C"/>
    <w:rsid w:val="00B93436"/>
    <w:rsid w:val="00B9556D"/>
    <w:rsid w:val="00B977A4"/>
    <w:rsid w:val="00BA27AB"/>
    <w:rsid w:val="00BA3DD6"/>
    <w:rsid w:val="00BB7E32"/>
    <w:rsid w:val="00BB7EC3"/>
    <w:rsid w:val="00BC12DE"/>
    <w:rsid w:val="00BC3D3C"/>
    <w:rsid w:val="00BC4EDE"/>
    <w:rsid w:val="00BD245F"/>
    <w:rsid w:val="00BF2DF7"/>
    <w:rsid w:val="00BF74D7"/>
    <w:rsid w:val="00C100D6"/>
    <w:rsid w:val="00C154FD"/>
    <w:rsid w:val="00C178D9"/>
    <w:rsid w:val="00C26C24"/>
    <w:rsid w:val="00C50472"/>
    <w:rsid w:val="00C74154"/>
    <w:rsid w:val="00C87401"/>
    <w:rsid w:val="00CA1B4D"/>
    <w:rsid w:val="00CB5E65"/>
    <w:rsid w:val="00CD24E1"/>
    <w:rsid w:val="00CD3F09"/>
    <w:rsid w:val="00CD52CC"/>
    <w:rsid w:val="00CE095C"/>
    <w:rsid w:val="00CE117D"/>
    <w:rsid w:val="00CE591E"/>
    <w:rsid w:val="00D052F3"/>
    <w:rsid w:val="00D209A7"/>
    <w:rsid w:val="00D42D78"/>
    <w:rsid w:val="00D4558A"/>
    <w:rsid w:val="00D54CE5"/>
    <w:rsid w:val="00D6172D"/>
    <w:rsid w:val="00D71D60"/>
    <w:rsid w:val="00D73A64"/>
    <w:rsid w:val="00D7518C"/>
    <w:rsid w:val="00D80418"/>
    <w:rsid w:val="00D87D0B"/>
    <w:rsid w:val="00D92E34"/>
    <w:rsid w:val="00DA6FD7"/>
    <w:rsid w:val="00DA72AE"/>
    <w:rsid w:val="00DB00E1"/>
    <w:rsid w:val="00DC730D"/>
    <w:rsid w:val="00DD5181"/>
    <w:rsid w:val="00DE1C59"/>
    <w:rsid w:val="00DE5060"/>
    <w:rsid w:val="00DF1894"/>
    <w:rsid w:val="00DF4FBC"/>
    <w:rsid w:val="00DF5B7F"/>
    <w:rsid w:val="00DF640B"/>
    <w:rsid w:val="00E0219B"/>
    <w:rsid w:val="00E05190"/>
    <w:rsid w:val="00E05885"/>
    <w:rsid w:val="00E11551"/>
    <w:rsid w:val="00E13FF7"/>
    <w:rsid w:val="00E17C88"/>
    <w:rsid w:val="00E21434"/>
    <w:rsid w:val="00E23179"/>
    <w:rsid w:val="00E26185"/>
    <w:rsid w:val="00E3145A"/>
    <w:rsid w:val="00E32E88"/>
    <w:rsid w:val="00E43093"/>
    <w:rsid w:val="00E43A55"/>
    <w:rsid w:val="00E5694D"/>
    <w:rsid w:val="00E609BE"/>
    <w:rsid w:val="00E62B22"/>
    <w:rsid w:val="00E63034"/>
    <w:rsid w:val="00E73388"/>
    <w:rsid w:val="00E977D9"/>
    <w:rsid w:val="00EB1C2C"/>
    <w:rsid w:val="00EB5DDA"/>
    <w:rsid w:val="00EC2025"/>
    <w:rsid w:val="00ED514D"/>
    <w:rsid w:val="00EE1801"/>
    <w:rsid w:val="00EF63A6"/>
    <w:rsid w:val="00EF6F65"/>
    <w:rsid w:val="00F26D5F"/>
    <w:rsid w:val="00F279DE"/>
    <w:rsid w:val="00F40FE8"/>
    <w:rsid w:val="00F5063B"/>
    <w:rsid w:val="00F53617"/>
    <w:rsid w:val="00F53718"/>
    <w:rsid w:val="00F622AA"/>
    <w:rsid w:val="00F63F73"/>
    <w:rsid w:val="00F6565A"/>
    <w:rsid w:val="00F72605"/>
    <w:rsid w:val="00F72D46"/>
    <w:rsid w:val="00F7666D"/>
    <w:rsid w:val="00F91779"/>
    <w:rsid w:val="00F97BE3"/>
    <w:rsid w:val="00FB313C"/>
    <w:rsid w:val="00FC262E"/>
    <w:rsid w:val="00FD4DF7"/>
    <w:rsid w:val="00FD6C4F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5">
    <w:name w:val="heading 5"/>
    <w:basedOn w:val="Standard"/>
    <w:link w:val="berschrift5Zchn"/>
    <w:uiPriority w:val="9"/>
    <w:qFormat/>
    <w:rsid w:val="00032F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64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64D6C"/>
  </w:style>
  <w:style w:type="paragraph" w:styleId="Fuzeile">
    <w:name w:val="footer"/>
    <w:basedOn w:val="Standard"/>
    <w:link w:val="FuzeileZchn"/>
    <w:unhideWhenUsed/>
    <w:rsid w:val="00264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64D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4D6C"/>
    <w:rPr>
      <w:rFonts w:ascii="Tahoma" w:hAnsi="Tahoma" w:cs="Tahoma"/>
      <w:sz w:val="16"/>
      <w:szCs w:val="16"/>
    </w:rPr>
  </w:style>
  <w:style w:type="paragraph" w:customStyle="1" w:styleId="etgexp">
    <w:name w:val="_etg exp"/>
    <w:basedOn w:val="Standard"/>
    <w:rsid w:val="0021468A"/>
    <w:pPr>
      <w:framePr w:w="2835" w:h="312" w:hRule="exact" w:hSpace="142" w:vSpace="142" w:wrap="notBeside" w:vAnchor="page" w:hAnchor="page" w:x="2184" w:y="2751"/>
      <w:spacing w:after="0" w:line="150" w:lineRule="atLeast"/>
      <w:jc w:val="both"/>
    </w:pPr>
    <w:rPr>
      <w:rFonts w:ascii="Arial" w:eastAsia="Times New Roman" w:hAnsi="Arial" w:cs="Arial"/>
      <w:noProof/>
      <w:snapToGrid w:val="0"/>
      <w:color w:val="000000"/>
      <w:sz w:val="13"/>
      <w:szCs w:val="13"/>
      <w:lang w:val="de-DE" w:eastAsia="de-DE"/>
    </w:rPr>
  </w:style>
  <w:style w:type="paragraph" w:customStyle="1" w:styleId="etgexpbold">
    <w:name w:val="_etg exp (bold)"/>
    <w:basedOn w:val="etgexp"/>
    <w:next w:val="etgexp"/>
    <w:rsid w:val="0021468A"/>
    <w:pPr>
      <w:framePr w:wrap="notBeside"/>
    </w:pPr>
    <w:rPr>
      <w:b/>
      <w:bCs/>
      <w:sz w:val="12"/>
      <w:szCs w:val="12"/>
    </w:rPr>
  </w:style>
  <w:style w:type="paragraph" w:customStyle="1" w:styleId="etgSubject">
    <w:name w:val="_etg Subject"/>
    <w:basedOn w:val="Standard"/>
    <w:next w:val="Standard"/>
    <w:rsid w:val="0021468A"/>
    <w:pPr>
      <w:spacing w:after="0" w:line="240" w:lineRule="atLeast"/>
      <w:jc w:val="both"/>
    </w:pPr>
    <w:rPr>
      <w:rFonts w:ascii="Arial" w:eastAsia="Times New Roman" w:hAnsi="Arial" w:cs="Arial"/>
      <w:b/>
      <w:bCs/>
      <w:snapToGrid w:val="0"/>
      <w:color w:val="000000"/>
      <w:sz w:val="20"/>
      <w:szCs w:val="20"/>
      <w:lang w:eastAsia="de-DE"/>
    </w:rPr>
  </w:style>
  <w:style w:type="character" w:customStyle="1" w:styleId="etgHeaderContdSubject">
    <w:name w:val="_etg Header Cont'd (Subject)"/>
    <w:rsid w:val="0021468A"/>
    <w:rPr>
      <w:rFonts w:ascii="Arial" w:hAnsi="Arial" w:cs="Arial"/>
      <w:b/>
      <w:bCs/>
      <w:sz w:val="20"/>
      <w:szCs w:val="20"/>
    </w:rPr>
  </w:style>
  <w:style w:type="paragraph" w:styleId="NurText">
    <w:name w:val="Plain Text"/>
    <w:basedOn w:val="Standard"/>
    <w:link w:val="NurTextZchn"/>
    <w:semiHidden/>
    <w:rsid w:val="0021468A"/>
    <w:pPr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de-DE"/>
    </w:rPr>
  </w:style>
  <w:style w:type="character" w:customStyle="1" w:styleId="NurTextZchn">
    <w:name w:val="Nur Text Zchn"/>
    <w:link w:val="NurText"/>
    <w:semiHidden/>
    <w:rsid w:val="0021468A"/>
    <w:rPr>
      <w:rFonts w:ascii="Courier New" w:eastAsia="Times New Roman" w:hAnsi="Courier New" w:cs="Courier New"/>
      <w:snapToGrid w:val="0"/>
      <w:sz w:val="20"/>
      <w:szCs w:val="20"/>
      <w:lang w:eastAsia="de-DE"/>
    </w:rPr>
  </w:style>
  <w:style w:type="paragraph" w:customStyle="1" w:styleId="etgFaxHeaderC1">
    <w:name w:val="_etg FaxHeader C1"/>
    <w:basedOn w:val="Standard"/>
    <w:rsid w:val="0021468A"/>
    <w:pPr>
      <w:spacing w:after="0" w:line="222" w:lineRule="atLeast"/>
      <w:ind w:left="-57" w:right="170"/>
      <w:jc w:val="right"/>
    </w:pPr>
    <w:rPr>
      <w:rFonts w:ascii="Arial" w:eastAsia="Times New Roman" w:hAnsi="Arial" w:cs="Arial"/>
      <w:snapToGrid w:val="0"/>
      <w:color w:val="000000"/>
      <w:sz w:val="12"/>
      <w:szCs w:val="12"/>
      <w:lang w:val="de-CH" w:eastAsia="de-DE"/>
    </w:rPr>
  </w:style>
  <w:style w:type="paragraph" w:customStyle="1" w:styleId="etgFaxHeaderC3">
    <w:name w:val="_etg FaxHeader C3"/>
    <w:basedOn w:val="Standard"/>
    <w:rsid w:val="0021468A"/>
    <w:pPr>
      <w:spacing w:after="0" w:line="222" w:lineRule="atLeast"/>
      <w:ind w:left="-57" w:right="170"/>
      <w:jc w:val="right"/>
    </w:pPr>
    <w:rPr>
      <w:rFonts w:ascii="Arial" w:eastAsia="Times New Roman" w:hAnsi="Arial" w:cs="Arial"/>
      <w:snapToGrid w:val="0"/>
      <w:color w:val="000000"/>
      <w:sz w:val="12"/>
      <w:szCs w:val="12"/>
      <w:lang w:val="de-CH" w:eastAsia="de-DE"/>
    </w:rPr>
  </w:style>
  <w:style w:type="paragraph" w:customStyle="1" w:styleId="etgLead">
    <w:name w:val="_etg Lead"/>
    <w:basedOn w:val="Standard"/>
    <w:rsid w:val="0021468A"/>
    <w:pPr>
      <w:spacing w:before="40" w:after="160" w:line="360" w:lineRule="auto"/>
      <w:jc w:val="both"/>
    </w:pPr>
    <w:rPr>
      <w:rFonts w:ascii="Arial" w:eastAsia="Times New Roman" w:hAnsi="Arial" w:cs="Arial"/>
      <w:b/>
      <w:bCs/>
      <w:snapToGrid w:val="0"/>
      <w:color w:val="000000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21468A"/>
    <w:pPr>
      <w:tabs>
        <w:tab w:val="left" w:pos="5220"/>
        <w:tab w:val="left" w:pos="5940"/>
      </w:tabs>
      <w:spacing w:after="0" w:line="240" w:lineRule="atLeast"/>
    </w:pPr>
    <w:rPr>
      <w:rFonts w:ascii="Arial" w:eastAsia="Times New Roman" w:hAnsi="Arial"/>
      <w:b/>
      <w:bCs/>
      <w:i/>
      <w:iCs/>
      <w:snapToGrid w:val="0"/>
      <w:color w:val="000000"/>
      <w:szCs w:val="20"/>
      <w:u w:val="single"/>
      <w:lang w:val="de-DE" w:eastAsia="de-DE"/>
    </w:rPr>
  </w:style>
  <w:style w:type="character" w:customStyle="1" w:styleId="Textkrper2Zchn">
    <w:name w:val="Textkörper 2 Zchn"/>
    <w:link w:val="Textkrper2"/>
    <w:semiHidden/>
    <w:rsid w:val="0021468A"/>
    <w:rPr>
      <w:rFonts w:ascii="Arial" w:eastAsia="Times New Roman" w:hAnsi="Arial" w:cs="Times New Roman"/>
      <w:b/>
      <w:bCs/>
      <w:i/>
      <w:iCs/>
      <w:snapToGrid w:val="0"/>
      <w:color w:val="000000"/>
      <w:szCs w:val="20"/>
      <w:u w:val="single"/>
      <w:lang w:val="de-DE" w:eastAsia="de-DE"/>
    </w:rPr>
  </w:style>
  <w:style w:type="character" w:styleId="Kommentarzeichen">
    <w:name w:val="annotation reference"/>
    <w:uiPriority w:val="99"/>
    <w:semiHidden/>
    <w:unhideWhenUsed/>
    <w:rsid w:val="003F25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25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F2545"/>
    <w:rPr>
      <w:lang w:val="en-GB" w:eastAsia="en-US"/>
    </w:rPr>
  </w:style>
  <w:style w:type="character" w:styleId="Hyperlink">
    <w:name w:val="Hyperlink"/>
    <w:uiPriority w:val="99"/>
    <w:unhideWhenUsed/>
    <w:rsid w:val="00815EBF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rsid w:val="00032F72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rsid w:val="00032F72"/>
  </w:style>
  <w:style w:type="character" w:styleId="Hervorhebung">
    <w:name w:val="Emphasis"/>
    <w:uiPriority w:val="20"/>
    <w:qFormat/>
    <w:rsid w:val="00DF18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5">
    <w:name w:val="heading 5"/>
    <w:basedOn w:val="Standard"/>
    <w:link w:val="berschrift5Zchn"/>
    <w:uiPriority w:val="9"/>
    <w:qFormat/>
    <w:rsid w:val="00032F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64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64D6C"/>
  </w:style>
  <w:style w:type="paragraph" w:styleId="Fuzeile">
    <w:name w:val="footer"/>
    <w:basedOn w:val="Standard"/>
    <w:link w:val="FuzeileZchn"/>
    <w:unhideWhenUsed/>
    <w:rsid w:val="00264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64D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4D6C"/>
    <w:rPr>
      <w:rFonts w:ascii="Tahoma" w:hAnsi="Tahoma" w:cs="Tahoma"/>
      <w:sz w:val="16"/>
      <w:szCs w:val="16"/>
    </w:rPr>
  </w:style>
  <w:style w:type="paragraph" w:customStyle="1" w:styleId="etgexp">
    <w:name w:val="_etg exp"/>
    <w:basedOn w:val="Standard"/>
    <w:rsid w:val="0021468A"/>
    <w:pPr>
      <w:framePr w:w="2835" w:h="312" w:hRule="exact" w:hSpace="142" w:vSpace="142" w:wrap="notBeside" w:vAnchor="page" w:hAnchor="page" w:x="2184" w:y="2751"/>
      <w:spacing w:after="0" w:line="150" w:lineRule="atLeast"/>
      <w:jc w:val="both"/>
    </w:pPr>
    <w:rPr>
      <w:rFonts w:ascii="Arial" w:eastAsia="Times New Roman" w:hAnsi="Arial" w:cs="Arial"/>
      <w:noProof/>
      <w:snapToGrid w:val="0"/>
      <w:color w:val="000000"/>
      <w:sz w:val="13"/>
      <w:szCs w:val="13"/>
      <w:lang w:val="de-DE" w:eastAsia="de-DE"/>
    </w:rPr>
  </w:style>
  <w:style w:type="paragraph" w:customStyle="1" w:styleId="etgexpbold">
    <w:name w:val="_etg exp (bold)"/>
    <w:basedOn w:val="etgexp"/>
    <w:next w:val="etgexp"/>
    <w:rsid w:val="0021468A"/>
    <w:pPr>
      <w:framePr w:wrap="notBeside"/>
    </w:pPr>
    <w:rPr>
      <w:b/>
      <w:bCs/>
      <w:sz w:val="12"/>
      <w:szCs w:val="12"/>
    </w:rPr>
  </w:style>
  <w:style w:type="paragraph" w:customStyle="1" w:styleId="etgSubject">
    <w:name w:val="_etg Subject"/>
    <w:basedOn w:val="Standard"/>
    <w:next w:val="Standard"/>
    <w:rsid w:val="0021468A"/>
    <w:pPr>
      <w:spacing w:after="0" w:line="240" w:lineRule="atLeast"/>
      <w:jc w:val="both"/>
    </w:pPr>
    <w:rPr>
      <w:rFonts w:ascii="Arial" w:eastAsia="Times New Roman" w:hAnsi="Arial" w:cs="Arial"/>
      <w:b/>
      <w:bCs/>
      <w:snapToGrid w:val="0"/>
      <w:color w:val="000000"/>
      <w:sz w:val="20"/>
      <w:szCs w:val="20"/>
      <w:lang w:eastAsia="de-DE"/>
    </w:rPr>
  </w:style>
  <w:style w:type="character" w:customStyle="1" w:styleId="etgHeaderContdSubject">
    <w:name w:val="_etg Header Cont'd (Subject)"/>
    <w:rsid w:val="0021468A"/>
    <w:rPr>
      <w:rFonts w:ascii="Arial" w:hAnsi="Arial" w:cs="Arial"/>
      <w:b/>
      <w:bCs/>
      <w:sz w:val="20"/>
      <w:szCs w:val="20"/>
    </w:rPr>
  </w:style>
  <w:style w:type="paragraph" w:styleId="NurText">
    <w:name w:val="Plain Text"/>
    <w:basedOn w:val="Standard"/>
    <w:link w:val="NurTextZchn"/>
    <w:semiHidden/>
    <w:rsid w:val="0021468A"/>
    <w:pPr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de-DE"/>
    </w:rPr>
  </w:style>
  <w:style w:type="character" w:customStyle="1" w:styleId="NurTextZchn">
    <w:name w:val="Nur Text Zchn"/>
    <w:link w:val="NurText"/>
    <w:semiHidden/>
    <w:rsid w:val="0021468A"/>
    <w:rPr>
      <w:rFonts w:ascii="Courier New" w:eastAsia="Times New Roman" w:hAnsi="Courier New" w:cs="Courier New"/>
      <w:snapToGrid w:val="0"/>
      <w:sz w:val="20"/>
      <w:szCs w:val="20"/>
      <w:lang w:eastAsia="de-DE"/>
    </w:rPr>
  </w:style>
  <w:style w:type="paragraph" w:customStyle="1" w:styleId="etgFaxHeaderC1">
    <w:name w:val="_etg FaxHeader C1"/>
    <w:basedOn w:val="Standard"/>
    <w:rsid w:val="0021468A"/>
    <w:pPr>
      <w:spacing w:after="0" w:line="222" w:lineRule="atLeast"/>
      <w:ind w:left="-57" w:right="170"/>
      <w:jc w:val="right"/>
    </w:pPr>
    <w:rPr>
      <w:rFonts w:ascii="Arial" w:eastAsia="Times New Roman" w:hAnsi="Arial" w:cs="Arial"/>
      <w:snapToGrid w:val="0"/>
      <w:color w:val="000000"/>
      <w:sz w:val="12"/>
      <w:szCs w:val="12"/>
      <w:lang w:val="de-CH" w:eastAsia="de-DE"/>
    </w:rPr>
  </w:style>
  <w:style w:type="paragraph" w:customStyle="1" w:styleId="etgFaxHeaderC3">
    <w:name w:val="_etg FaxHeader C3"/>
    <w:basedOn w:val="Standard"/>
    <w:rsid w:val="0021468A"/>
    <w:pPr>
      <w:spacing w:after="0" w:line="222" w:lineRule="atLeast"/>
      <w:ind w:left="-57" w:right="170"/>
      <w:jc w:val="right"/>
    </w:pPr>
    <w:rPr>
      <w:rFonts w:ascii="Arial" w:eastAsia="Times New Roman" w:hAnsi="Arial" w:cs="Arial"/>
      <w:snapToGrid w:val="0"/>
      <w:color w:val="000000"/>
      <w:sz w:val="12"/>
      <w:szCs w:val="12"/>
      <w:lang w:val="de-CH" w:eastAsia="de-DE"/>
    </w:rPr>
  </w:style>
  <w:style w:type="paragraph" w:customStyle="1" w:styleId="etgLead">
    <w:name w:val="_etg Lead"/>
    <w:basedOn w:val="Standard"/>
    <w:rsid w:val="0021468A"/>
    <w:pPr>
      <w:spacing w:before="40" w:after="160" w:line="360" w:lineRule="auto"/>
      <w:jc w:val="both"/>
    </w:pPr>
    <w:rPr>
      <w:rFonts w:ascii="Arial" w:eastAsia="Times New Roman" w:hAnsi="Arial" w:cs="Arial"/>
      <w:b/>
      <w:bCs/>
      <w:snapToGrid w:val="0"/>
      <w:color w:val="000000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21468A"/>
    <w:pPr>
      <w:tabs>
        <w:tab w:val="left" w:pos="5220"/>
        <w:tab w:val="left" w:pos="5940"/>
      </w:tabs>
      <w:spacing w:after="0" w:line="240" w:lineRule="atLeast"/>
    </w:pPr>
    <w:rPr>
      <w:rFonts w:ascii="Arial" w:eastAsia="Times New Roman" w:hAnsi="Arial"/>
      <w:b/>
      <w:bCs/>
      <w:i/>
      <w:iCs/>
      <w:snapToGrid w:val="0"/>
      <w:color w:val="000000"/>
      <w:szCs w:val="20"/>
      <w:u w:val="single"/>
      <w:lang w:val="de-DE" w:eastAsia="de-DE"/>
    </w:rPr>
  </w:style>
  <w:style w:type="character" w:customStyle="1" w:styleId="Textkrper2Zchn">
    <w:name w:val="Textkörper 2 Zchn"/>
    <w:link w:val="Textkrper2"/>
    <w:semiHidden/>
    <w:rsid w:val="0021468A"/>
    <w:rPr>
      <w:rFonts w:ascii="Arial" w:eastAsia="Times New Roman" w:hAnsi="Arial" w:cs="Times New Roman"/>
      <w:b/>
      <w:bCs/>
      <w:i/>
      <w:iCs/>
      <w:snapToGrid w:val="0"/>
      <w:color w:val="000000"/>
      <w:szCs w:val="20"/>
      <w:u w:val="single"/>
      <w:lang w:val="de-DE" w:eastAsia="de-DE"/>
    </w:rPr>
  </w:style>
  <w:style w:type="character" w:styleId="Kommentarzeichen">
    <w:name w:val="annotation reference"/>
    <w:uiPriority w:val="99"/>
    <w:semiHidden/>
    <w:unhideWhenUsed/>
    <w:rsid w:val="003F25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25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F2545"/>
    <w:rPr>
      <w:lang w:val="en-GB" w:eastAsia="en-US"/>
    </w:rPr>
  </w:style>
  <w:style w:type="character" w:styleId="Hyperlink">
    <w:name w:val="Hyperlink"/>
    <w:uiPriority w:val="99"/>
    <w:unhideWhenUsed/>
    <w:rsid w:val="00815EBF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rsid w:val="00032F72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rsid w:val="00032F72"/>
  </w:style>
  <w:style w:type="character" w:styleId="Hervorhebung">
    <w:name w:val="Emphasis"/>
    <w:uiPriority w:val="20"/>
    <w:qFormat/>
    <w:rsid w:val="00DF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2C44-8D33-46B1-AB8B-58742C36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8EF21D7.dotm</Template>
  <TotalTime>0</TotalTime>
  <Pages>4</Pages>
  <Words>1286</Words>
  <Characters>8107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Schweizer Personenwagenmarkt zeigt Sättigungstendenzen</vt:lpstr>
      <vt:lpstr/>
    </vt:vector>
  </TitlesOfParts>
  <Company>Eurotax Schweiz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 Personenwagenmarkt zeigt Sättigungstendenzen</dc:title>
  <dc:subject>Rückläufige Neu- und Gebrauchtwagenverkäufe im 1. Halbjahr 2014</dc:subject>
  <dc:creator>Céline Tambour</dc:creator>
  <cp:lastModifiedBy>Jennifer Isenschmid</cp:lastModifiedBy>
  <cp:revision>3</cp:revision>
  <cp:lastPrinted>2014-07-10T11:27:00Z</cp:lastPrinted>
  <dcterms:created xsi:type="dcterms:W3CDTF">2014-07-17T13:49:00Z</dcterms:created>
  <dcterms:modified xsi:type="dcterms:W3CDTF">2014-07-21T12:07:00Z</dcterms:modified>
  <cp:category>Pressemitteilung</cp:category>
</cp:coreProperties>
</file>