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A72BF4" w14:paraId="73D8865A" w14:textId="77777777">
        <w:trPr>
          <w:cantSplit/>
          <w:trHeight w:hRule="exact" w:val="794"/>
        </w:trPr>
        <w:tc>
          <w:tcPr>
            <w:tcW w:w="8505" w:type="dxa"/>
            <w:tcBorders>
              <w:top w:val="nil"/>
              <w:left w:val="nil"/>
              <w:bottom w:val="nil"/>
              <w:right w:val="nil"/>
            </w:tcBorders>
          </w:tcPr>
          <w:p w14:paraId="035D75B5" w14:textId="77777777" w:rsidR="00B254FD" w:rsidRDefault="00A72BF4" w:rsidP="003E4217">
            <w:pPr>
              <w:pStyle w:val="11ptbold"/>
            </w:pPr>
            <w:r>
              <w:t>Communiqué de presse</w:t>
            </w:r>
          </w:p>
          <w:p w14:paraId="33795162" w14:textId="77777777" w:rsidR="00B254FD" w:rsidRDefault="00B254FD" w:rsidP="003E4217">
            <w:pPr>
              <w:pStyle w:val="11ptbold"/>
              <w:rPr>
                <w:b w:val="0"/>
                <w:caps w:val="0"/>
              </w:rPr>
            </w:pPr>
          </w:p>
          <w:p w14:paraId="5033F205" w14:textId="77777777" w:rsidR="00A72BF4" w:rsidRPr="00B254FD" w:rsidRDefault="00B254FD" w:rsidP="003E4217">
            <w:r>
              <w:rPr>
                <w:b/>
                <w:sz w:val="20"/>
                <w:szCs w:val="20"/>
              </w:rPr>
              <w:t>Sous-titre</w:t>
            </w:r>
          </w:p>
        </w:tc>
      </w:tr>
      <w:tr w:rsidR="00A72BF4" w:rsidRPr="00B27FCD" w14:paraId="76A74092" w14:textId="77777777">
        <w:trPr>
          <w:cantSplit/>
          <w:trHeight w:val="320"/>
        </w:trPr>
        <w:tc>
          <w:tcPr>
            <w:tcW w:w="8505" w:type="dxa"/>
            <w:tcBorders>
              <w:top w:val="nil"/>
              <w:left w:val="nil"/>
              <w:bottom w:val="nil"/>
              <w:right w:val="nil"/>
            </w:tcBorders>
          </w:tcPr>
          <w:p w14:paraId="2845D7FF" w14:textId="43923BCE" w:rsidR="00B262FE" w:rsidRPr="00AD32F7" w:rsidRDefault="00605091" w:rsidP="003E4217">
            <w:pPr>
              <w:spacing w:line="240" w:lineRule="auto"/>
              <w:rPr>
                <w:b/>
                <w:sz w:val="20"/>
                <w:szCs w:val="20"/>
              </w:rPr>
            </w:pPr>
            <w:r>
              <w:rPr>
                <w:b/>
                <w:sz w:val="20"/>
                <w:szCs w:val="20"/>
              </w:rPr>
              <w:t>Étiquette-énergie pour les véhicules de tourisme</w:t>
            </w:r>
          </w:p>
          <w:p w14:paraId="1A7C14ED" w14:textId="6627F6D3" w:rsidR="00B254FD" w:rsidRDefault="00B254FD" w:rsidP="00605091">
            <w:pPr>
              <w:spacing w:line="240" w:lineRule="auto"/>
              <w:rPr>
                <w:b/>
                <w:sz w:val="20"/>
                <w:szCs w:val="20"/>
              </w:rPr>
            </w:pPr>
          </w:p>
          <w:p w14:paraId="2634E51B" w14:textId="743097F9" w:rsidR="00377004" w:rsidRPr="00AD32F7" w:rsidRDefault="00377004" w:rsidP="00605091">
            <w:pPr>
              <w:spacing w:line="240" w:lineRule="auto"/>
              <w:rPr>
                <w:sz w:val="32"/>
                <w:szCs w:val="32"/>
              </w:rPr>
            </w:pPr>
            <w:r>
              <w:rPr>
                <w:b/>
                <w:sz w:val="32"/>
                <w:szCs w:val="32"/>
              </w:rPr>
              <w:t>L’étiquette-énergie indique l’efficience énergétique d’une voiture</w:t>
            </w:r>
          </w:p>
          <w:p w14:paraId="253B7FEC" w14:textId="77777777" w:rsidR="00E212B7" w:rsidRPr="00E212B7" w:rsidRDefault="00E212B7" w:rsidP="003E4217">
            <w:pPr>
              <w:spacing w:line="240" w:lineRule="auto"/>
              <w:jc w:val="left"/>
              <w:rPr>
                <w:b/>
                <w:sz w:val="32"/>
                <w:szCs w:val="32"/>
              </w:rPr>
            </w:pPr>
          </w:p>
        </w:tc>
      </w:tr>
      <w:tr w:rsidR="00A72BF4" w:rsidRPr="00E502BF" w14:paraId="134A0E3A" w14:textId="77777777">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14:paraId="0654A94F" w14:textId="77777777" w:rsidTr="005A7B99">
              <w:trPr>
                <w:trHeight w:val="340"/>
              </w:trPr>
              <w:tc>
                <w:tcPr>
                  <w:tcW w:w="8505" w:type="dxa"/>
                </w:tcPr>
                <w:p w14:paraId="0F9B0AF3" w14:textId="7F4F31D0" w:rsidR="00050F00" w:rsidRPr="00DC206C" w:rsidRDefault="00605091" w:rsidP="00605091">
                  <w:pPr>
                    <w:spacing w:line="240" w:lineRule="auto"/>
                    <w:rPr>
                      <w:b/>
                      <w:i/>
                      <w:sz w:val="19"/>
                      <w:szCs w:val="19"/>
                    </w:rPr>
                  </w:pPr>
                  <w:r>
                    <w:rPr>
                      <w:b/>
                      <w:i/>
                      <w:sz w:val="19"/>
                      <w:szCs w:val="19"/>
                    </w:rPr>
                    <w:t xml:space="preserve">Berne, le </w:t>
                  </w:r>
                  <w:r w:rsidR="003B4452">
                    <w:rPr>
                      <w:b/>
                      <w:i/>
                      <w:sz w:val="19"/>
                      <w:szCs w:val="19"/>
                    </w:rPr>
                    <w:t>08.02</w:t>
                  </w:r>
                  <w:bookmarkStart w:id="0" w:name="_GoBack"/>
                  <w:bookmarkEnd w:id="0"/>
                  <w:r>
                    <w:rPr>
                      <w:b/>
                      <w:i/>
                      <w:sz w:val="19"/>
                      <w:szCs w:val="19"/>
                    </w:rPr>
                    <w:t xml:space="preserve">.2021 </w:t>
                  </w:r>
                  <w:r>
                    <w:rPr>
                      <w:b/>
                      <w:iCs/>
                      <w:sz w:val="19"/>
                      <w:szCs w:val="19"/>
                    </w:rPr>
                    <w:t>– La question de l’efficience énergétique fait aujourd'hui partie des critères importants lors de la décision d’achat d'une voiture. L’étiquette-énergie assure la transparence et facilite ainsi le choix. Les garagistes de l’Union professionnelle suisse de l'automobile (UPSA) expliquent le sens et le but de l’étiquette-énergie, dont les catégories sont réexaminées chaque année.</w:t>
                  </w:r>
                </w:p>
                <w:p w14:paraId="096517F4" w14:textId="227B0A7D" w:rsidR="00041E78" w:rsidRPr="00B254FD" w:rsidRDefault="00041E78" w:rsidP="00605091">
                  <w:pPr>
                    <w:spacing w:line="240" w:lineRule="auto"/>
                    <w:rPr>
                      <w:b/>
                      <w:sz w:val="19"/>
                      <w:szCs w:val="19"/>
                    </w:rPr>
                  </w:pPr>
                </w:p>
              </w:tc>
            </w:tr>
            <w:tr w:rsidR="00041E78" w:rsidRPr="00E502BF" w14:paraId="57A70B80" w14:textId="77777777" w:rsidTr="005A7B99">
              <w:trPr>
                <w:trHeight w:val="709"/>
              </w:trPr>
              <w:tc>
                <w:tcPr>
                  <w:tcW w:w="8505" w:type="dxa"/>
                </w:tcPr>
                <w:p w14:paraId="54C3E680" w14:textId="2218E7FA" w:rsidR="00050F00" w:rsidRDefault="00605091" w:rsidP="00605091">
                  <w:pPr>
                    <w:spacing w:line="240" w:lineRule="auto"/>
                    <w:rPr>
                      <w:sz w:val="19"/>
                      <w:szCs w:val="19"/>
                    </w:rPr>
                  </w:pPr>
                  <w:r>
                    <w:rPr>
                      <w:sz w:val="19"/>
                      <w:szCs w:val="19"/>
                    </w:rPr>
                    <w:t>L’étiquette-énergie est obligatoire pour les voitures de tourisme neuves et contribue à atteindre la réduction visée de la consommation moyenne de carburant. Les vendeurs d’occasion peuvent la mettre volontairement sur leurs véhicules. L’étiquette informe sur la consommation de carburant et d’énergie en litres ou kilowattheures (kWh) par 100 km, les émissions de CO</w:t>
                  </w:r>
                  <w:r>
                    <w:rPr>
                      <w:sz w:val="14"/>
                      <w:szCs w:val="14"/>
                      <w:vertAlign w:val="subscript"/>
                    </w:rPr>
                    <w:t>2</w:t>
                  </w:r>
                  <w:r>
                    <w:rPr>
                      <w:sz w:val="19"/>
                      <w:szCs w:val="19"/>
                    </w:rPr>
                    <w:t xml:space="preserve"> en g/km et l’efficience énergétique. « Les acheteurs intéressés bénéficient ainsi d'un tableau uniforme sur l’ensemble des marques. </w:t>
                  </w:r>
                  <w:r>
                    <w:t>D’un coup d'œil, ils peuvent se faire une idée de la consommation énergétique et des émissions de CO</w:t>
                  </w:r>
                  <w:r>
                    <w:rPr>
                      <w:vertAlign w:val="subscript"/>
                    </w:rPr>
                    <w:t>2</w:t>
                  </w:r>
                  <w:r>
                    <w:t> », explique Markus Peter, responsable Technique &amp; environnement de l’UPSA.</w:t>
                  </w:r>
                  <w:r>
                    <w:rPr>
                      <w:sz w:val="19"/>
                      <w:szCs w:val="19"/>
                    </w:rPr>
                    <w:t xml:space="preserve"> </w:t>
                  </w:r>
                </w:p>
                <w:p w14:paraId="5A2CA679" w14:textId="7DFB5E9F" w:rsidR="00C049BD" w:rsidRDefault="00C049BD" w:rsidP="00605091">
                  <w:pPr>
                    <w:spacing w:line="240" w:lineRule="auto"/>
                    <w:rPr>
                      <w:sz w:val="19"/>
                      <w:szCs w:val="19"/>
                    </w:rPr>
                  </w:pPr>
                </w:p>
                <w:p w14:paraId="7B7C2B48" w14:textId="3DDC564A" w:rsidR="00C049BD" w:rsidRDefault="00C049BD" w:rsidP="00C049BD">
                  <w:pPr>
                    <w:spacing w:line="240" w:lineRule="auto"/>
                    <w:rPr>
                      <w:sz w:val="19"/>
                      <w:szCs w:val="19"/>
                    </w:rPr>
                  </w:pPr>
                  <w:r>
                    <w:rPr>
                      <w:sz w:val="19"/>
                      <w:szCs w:val="19"/>
                    </w:rPr>
                    <w:t xml:space="preserve">Les véhicules sont au total répartis en sept catégories d’efficience allant de A à G. Les véhicules de la catégorie A sont efficients sur le plan énergétique tandis que ceux de la catégorie G sont relativement peu efficients. L’avantage de cette échelle est qu’elle est connue du consommateur qui y trouve des informations similaires à celles de son réfrigérateur ou </w:t>
                  </w:r>
                  <w:r w:rsidR="00094CC9">
                    <w:rPr>
                      <w:sz w:val="19"/>
                      <w:szCs w:val="19"/>
                    </w:rPr>
                    <w:t xml:space="preserve">de son </w:t>
                  </w:r>
                  <w:r>
                    <w:rPr>
                      <w:sz w:val="19"/>
                      <w:szCs w:val="19"/>
                    </w:rPr>
                    <w:t xml:space="preserve">téléviseur. L’étiquette-énergie pour voitures de tourisme est différente dans la mesure où les catégories sont contrôlées chaque année par le Département fédéral de l'environnement, des transports, de l'énergie et de la communication (DETEC) et font l’objet d'une nouvelle répartition. </w:t>
                  </w:r>
                </w:p>
                <w:p w14:paraId="2D8ADC1B" w14:textId="06A54A5A" w:rsidR="00C049BD" w:rsidRDefault="00C049BD" w:rsidP="00C049BD">
                  <w:pPr>
                    <w:spacing w:line="240" w:lineRule="auto"/>
                    <w:rPr>
                      <w:sz w:val="19"/>
                      <w:szCs w:val="19"/>
                    </w:rPr>
                  </w:pPr>
                </w:p>
                <w:p w14:paraId="075682D4" w14:textId="11FAB70E" w:rsidR="00C049BD" w:rsidRDefault="00C049BD" w:rsidP="00C049BD">
                  <w:pPr>
                    <w:spacing w:line="240" w:lineRule="auto"/>
                    <w:rPr>
                      <w:sz w:val="19"/>
                      <w:szCs w:val="19"/>
                    </w:rPr>
                  </w:pPr>
                  <w:r>
                    <w:rPr>
                      <w:sz w:val="19"/>
                      <w:szCs w:val="19"/>
                    </w:rPr>
                    <w:t>Avec ces modifications, le DETEC veille à ce qu’un septième seulement de tous les modèles neufs se trouve dans la meilleure catégorie d’efficience A. « Une voiture qui figurait encore dans la catégorie A il y a cinq ans, peut aujourd’hui redescendre d’une ou deux catégories », explique Markus Peter. Cette manière de procéder prend en compte le développement automobile en termes de technique et de mise à disposition des carburants. Les facteurs d’évaluation sont adaptés aux nouvelles découvertes scientifiques et techniques et aux dernières conditions-cadres en vigueur dans le secteur de l’énergie. « Le marché de l’hydrogène évolue beaucoup actuellement. »</w:t>
                  </w:r>
                </w:p>
                <w:p w14:paraId="2F6A04D4" w14:textId="177B58D2" w:rsidR="00C049BD" w:rsidRDefault="00C049BD" w:rsidP="00605091">
                  <w:pPr>
                    <w:spacing w:line="240" w:lineRule="auto"/>
                    <w:rPr>
                      <w:sz w:val="19"/>
                      <w:szCs w:val="19"/>
                    </w:rPr>
                  </w:pPr>
                </w:p>
                <w:p w14:paraId="3161B698" w14:textId="1B8630A6" w:rsidR="00C049BD" w:rsidRPr="00153693" w:rsidRDefault="00C049BD" w:rsidP="00C049BD">
                  <w:pPr>
                    <w:spacing w:line="240" w:lineRule="auto"/>
                    <w:rPr>
                      <w:sz w:val="19"/>
                      <w:szCs w:val="19"/>
                    </w:rPr>
                  </w:pPr>
                  <w:r>
                    <w:rPr>
                      <w:sz w:val="19"/>
                      <w:szCs w:val="19"/>
                    </w:rPr>
                    <w:t>Les nouvelles catégories s’appliquent depuis le 1</w:t>
                  </w:r>
                  <w:r>
                    <w:rPr>
                      <w:sz w:val="19"/>
                      <w:szCs w:val="19"/>
                      <w:vertAlign w:val="superscript"/>
                    </w:rPr>
                    <w:t>er</w:t>
                  </w:r>
                  <w:r>
                    <w:rPr>
                      <w:sz w:val="19"/>
                      <w:szCs w:val="19"/>
                    </w:rPr>
                    <w:t xml:space="preserve"> janvier 2021*. L’hydrogène a connu des modifications car le mélange d’hydrogène aux stations-service suisse comprend une part plus importante de courant d’origine hydraulique. Concernant l’électricité, le mélange de courant des fournisseurs est désormais calculé sur la base des données disponibles actuelles. Il comprend dorénavant une part moindre de courant importé et de sources d'énergie non contrôlables.</w:t>
                  </w:r>
                </w:p>
                <w:p w14:paraId="02C3542A" w14:textId="720B2A22" w:rsidR="00050F00" w:rsidRDefault="00EC41DB" w:rsidP="00605091">
                  <w:pPr>
                    <w:spacing w:line="240" w:lineRule="auto"/>
                    <w:rPr>
                      <w:sz w:val="19"/>
                      <w:szCs w:val="19"/>
                    </w:rPr>
                  </w:pPr>
                  <w:r>
                    <w:rPr>
                      <w:noProof/>
                      <w:lang w:val="de-CH"/>
                    </w:rPr>
                    <w:lastRenderedPageBreak/>
                    <w:drawing>
                      <wp:anchor distT="0" distB="0" distL="114300" distR="114300" simplePos="0" relativeHeight="251659264" behindDoc="1" locked="0" layoutInCell="1" allowOverlap="1" wp14:anchorId="7D160126" wp14:editId="59375658">
                        <wp:simplePos x="0" y="0"/>
                        <wp:positionH relativeFrom="column">
                          <wp:posOffset>0</wp:posOffset>
                        </wp:positionH>
                        <wp:positionV relativeFrom="paragraph">
                          <wp:posOffset>114935</wp:posOffset>
                        </wp:positionV>
                        <wp:extent cx="1510665" cy="2133600"/>
                        <wp:effectExtent l="0" t="0" r="0" b="0"/>
                        <wp:wrapTight wrapText="bothSides">
                          <wp:wrapPolygon edited="0">
                            <wp:start x="0" y="0"/>
                            <wp:lineTo x="0" y="21407"/>
                            <wp:lineTo x="21246" y="21407"/>
                            <wp:lineTo x="212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0665" cy="2133600"/>
                                </a:xfrm>
                                <a:prstGeom prst="rect">
                                  <a:avLst/>
                                </a:prstGeom>
                              </pic:spPr>
                            </pic:pic>
                          </a:graphicData>
                        </a:graphic>
                        <wp14:sizeRelH relativeFrom="margin">
                          <wp14:pctWidth>0</wp14:pctWidth>
                        </wp14:sizeRelH>
                        <wp14:sizeRelV relativeFrom="margin">
                          <wp14:pctHeight>0</wp14:pctHeight>
                        </wp14:sizeRelV>
                      </wp:anchor>
                    </w:drawing>
                  </w:r>
                </w:p>
                <w:p w14:paraId="0E296A4E" w14:textId="481A2517" w:rsidR="00C049BD" w:rsidRDefault="00C049BD" w:rsidP="00C049BD">
                  <w:pPr>
                    <w:spacing w:line="240" w:lineRule="auto"/>
                    <w:rPr>
                      <w:sz w:val="19"/>
                      <w:szCs w:val="19"/>
                    </w:rPr>
                  </w:pPr>
                  <w:r>
                    <w:rPr>
                      <w:sz w:val="19"/>
                      <w:szCs w:val="19"/>
                    </w:rPr>
                    <w:t xml:space="preserve">Depuis mars 2003, l’étiquette-énergie doit être apposée de manière bien visible sur chaque véhicule neuf proposé à l’achat. Les informations de l’étiquette-énergie et d’autres informations sont par ailleurs indiquées dans la publicité, les listes de prix, les configurateurs en ligne et les supports de vente. </w:t>
                  </w:r>
                </w:p>
                <w:p w14:paraId="2BBA0737" w14:textId="1AB39EB3" w:rsidR="00EC41DB" w:rsidRDefault="00EC41DB" w:rsidP="00C049BD">
                  <w:pPr>
                    <w:spacing w:line="240" w:lineRule="auto"/>
                    <w:rPr>
                      <w:sz w:val="19"/>
                      <w:szCs w:val="19"/>
                    </w:rPr>
                  </w:pPr>
                </w:p>
                <w:p w14:paraId="77DC0B12" w14:textId="36E89E74" w:rsidR="00EC41DB" w:rsidRPr="00153693" w:rsidRDefault="00EC41DB" w:rsidP="00C049BD">
                  <w:pPr>
                    <w:spacing w:line="240" w:lineRule="auto"/>
                    <w:rPr>
                      <w:sz w:val="19"/>
                      <w:szCs w:val="19"/>
                    </w:rPr>
                  </w:pPr>
                  <w:r>
                    <w:rPr>
                      <w:sz w:val="19"/>
                      <w:szCs w:val="19"/>
                    </w:rPr>
                    <w:t>L’étiquette est divisée en trois parties. Les informations sur le véhicule figurent tout en haut, suivies par les indications relatives à la consommation de carburant, l’énergie et les émissions de CO</w:t>
                  </w:r>
                  <w:r>
                    <w:rPr>
                      <w:sz w:val="19"/>
                      <w:szCs w:val="19"/>
                      <w:vertAlign w:val="subscript"/>
                    </w:rPr>
                    <w:t>2</w:t>
                  </w:r>
                  <w:r>
                    <w:rPr>
                      <w:sz w:val="19"/>
                      <w:szCs w:val="19"/>
                    </w:rPr>
                    <w:t>. Ces valeurs sont directement reprises des constructeurs et ne se rapportent qu’à la consommation homologuée pendant le trajet au moyen de cycles d’essai. C’est la partie inférieure avec les catégories en couleur qui indique l’efficience énergétique du véhicule par rapport au carburant utilisé. Outre le mode de conduite, la charge de travail liée à la mise à disposition du carburant est aussi prise en compte. « La production d’hydrogène nécessite par exemple relativement beaucoup d’énergie », précise Markus Peter. Les garagistes UPSA se font un plaisir de répondre aux questions sur l’étiquette-énergie et d’assister les automobilistes avec leur expertise.</w:t>
                  </w:r>
                </w:p>
                <w:p w14:paraId="2228D5E4" w14:textId="77777777" w:rsidR="00605091" w:rsidRPr="00153693" w:rsidRDefault="00605091" w:rsidP="00605091">
                  <w:pPr>
                    <w:spacing w:line="240" w:lineRule="auto"/>
                    <w:rPr>
                      <w:sz w:val="19"/>
                      <w:szCs w:val="19"/>
                    </w:rPr>
                  </w:pPr>
                </w:p>
                <w:p w14:paraId="13A24E38" w14:textId="48E71F36" w:rsidR="00605091" w:rsidRDefault="00C049BD" w:rsidP="00C049BD">
                  <w:pPr>
                    <w:spacing w:line="240" w:lineRule="auto"/>
                    <w:rPr>
                      <w:sz w:val="19"/>
                      <w:szCs w:val="19"/>
                    </w:rPr>
                  </w:pPr>
                  <w:r>
                    <w:rPr>
                      <w:sz w:val="19"/>
                      <w:szCs w:val="19"/>
                    </w:rPr>
                    <w:t>*La moyenne des émissions de CO</w:t>
                  </w:r>
                  <w:r>
                    <w:rPr>
                      <w:sz w:val="14"/>
                      <w:szCs w:val="14"/>
                      <w:vertAlign w:val="subscript"/>
                    </w:rPr>
                    <w:t>2</w:t>
                  </w:r>
                  <w:r>
                    <w:rPr>
                      <w:sz w:val="19"/>
                      <w:szCs w:val="19"/>
                    </w:rPr>
                    <w:t xml:space="preserve"> de tout le parc automobile de tourisme n’est plus affichée sur l’étiquette-énergie depuis le 1</w:t>
                  </w:r>
                  <w:r>
                    <w:rPr>
                      <w:sz w:val="19"/>
                      <w:szCs w:val="19"/>
                      <w:vertAlign w:val="superscript"/>
                    </w:rPr>
                    <w:t>er</w:t>
                  </w:r>
                  <w:r>
                    <w:rPr>
                      <w:sz w:val="19"/>
                      <w:szCs w:val="19"/>
                    </w:rPr>
                    <w:t xml:space="preserve"> janvier 2020, La valeur doit cependant toujours figurer dans les listes de prix et les configurateurs en ligne. Pour l’année 2021, la valeur est désormais de 169 g/km (WLTP**) ou 136 g/km (NEDC**). Ces valeurs sont calculées sur la base des voitures neuves mises en circulation entre le 1</w:t>
                  </w:r>
                  <w:r>
                    <w:rPr>
                      <w:sz w:val="19"/>
                      <w:szCs w:val="19"/>
                      <w:vertAlign w:val="superscript"/>
                    </w:rPr>
                    <w:t>er</w:t>
                  </w:r>
                  <w:r>
                    <w:rPr>
                      <w:sz w:val="19"/>
                      <w:szCs w:val="19"/>
                    </w:rPr>
                    <w:t xml:space="preserve"> juin 2019 et le 31 mai 2020.</w:t>
                  </w:r>
                </w:p>
                <w:p w14:paraId="4A9ADFF5" w14:textId="7BB72FB6" w:rsidR="00EC41DB" w:rsidRDefault="00253276" w:rsidP="00EC41DB">
                  <w:pPr>
                    <w:spacing w:line="240" w:lineRule="auto"/>
                    <w:rPr>
                      <w:sz w:val="19"/>
                      <w:szCs w:val="19"/>
                    </w:rPr>
                  </w:pPr>
                  <w:r>
                    <w:rPr>
                      <w:sz w:val="19"/>
                      <w:szCs w:val="19"/>
                    </w:rPr>
                    <w:t>**Méthodologie de calcul et NEDC/WLTP : au 1</w:t>
                  </w:r>
                  <w:r>
                    <w:rPr>
                      <w:sz w:val="19"/>
                      <w:szCs w:val="19"/>
                      <w:vertAlign w:val="superscript"/>
                    </w:rPr>
                    <w:t>er</w:t>
                  </w:r>
                  <w:r>
                    <w:rPr>
                      <w:sz w:val="19"/>
                      <w:szCs w:val="19"/>
                    </w:rPr>
                    <w:t xml:space="preserve"> janvier 2020, la méthodologie de calcul des catégories d’efficience énergétique des voitures de tourisme neuves a changé. Le poids à vide n’est plus pris en compte lors du classement pour l’étiquette-énergie. Dans un même temps, on est passé de l’ancienne méthode d’essai NEDC (nouveau cycle européen de conduite) à la procédure de test WLTP (Worldwide </w:t>
                  </w:r>
                  <w:proofErr w:type="spellStart"/>
                  <w:r>
                    <w:rPr>
                      <w:sz w:val="19"/>
                      <w:szCs w:val="19"/>
                    </w:rPr>
                    <w:t>Harmonized</w:t>
                  </w:r>
                  <w:proofErr w:type="spellEnd"/>
                  <w:r>
                    <w:rPr>
                      <w:sz w:val="19"/>
                      <w:szCs w:val="19"/>
                    </w:rPr>
                    <w:t xml:space="preserve"> Light-</w:t>
                  </w:r>
                  <w:proofErr w:type="spellStart"/>
                  <w:r>
                    <w:rPr>
                      <w:sz w:val="19"/>
                      <w:szCs w:val="19"/>
                    </w:rPr>
                    <w:t>Duty</w:t>
                  </w:r>
                  <w:proofErr w:type="spellEnd"/>
                  <w:r>
                    <w:rPr>
                      <w:sz w:val="19"/>
                      <w:szCs w:val="19"/>
                    </w:rPr>
                    <w:t xml:space="preserve"> </w:t>
                  </w:r>
                  <w:proofErr w:type="spellStart"/>
                  <w:r>
                    <w:rPr>
                      <w:sz w:val="19"/>
                      <w:szCs w:val="19"/>
                    </w:rPr>
                    <w:t>Vehicles</w:t>
                  </w:r>
                  <w:proofErr w:type="spellEnd"/>
                  <w:r>
                    <w:rPr>
                      <w:sz w:val="19"/>
                      <w:szCs w:val="19"/>
                    </w:rPr>
                    <w:t xml:space="preserve"> Test </w:t>
                  </w:r>
                  <w:proofErr w:type="spellStart"/>
                  <w:r>
                    <w:rPr>
                      <w:sz w:val="19"/>
                      <w:szCs w:val="19"/>
                    </w:rPr>
                    <w:t>Procedures</w:t>
                  </w:r>
                  <w:proofErr w:type="spellEnd"/>
                  <w:r>
                    <w:rPr>
                      <w:sz w:val="19"/>
                      <w:szCs w:val="19"/>
                    </w:rPr>
                    <w:t>). C’est la raison pour laquelle toutes les indications figurant dans les informations destinées aux clients doivent reposer sur les valeurs WLTP si ces dernières existent. Les véhicules disposant uniquement d'indications NEDC parce que le constructeur les a homologués à une époque où le WLTP n’était pas encore prescrit font exception à cette règle. Cela concerne encore quelques véhicules en stock.</w:t>
                  </w:r>
                </w:p>
                <w:p w14:paraId="7B9BD0FF" w14:textId="23ADAECA" w:rsidR="00887883" w:rsidRDefault="00887883" w:rsidP="00EC41DB">
                  <w:pPr>
                    <w:spacing w:line="240" w:lineRule="auto"/>
                    <w:rPr>
                      <w:sz w:val="19"/>
                      <w:szCs w:val="19"/>
                    </w:rPr>
                  </w:pPr>
                </w:p>
                <w:p w14:paraId="59174171" w14:textId="1341628E" w:rsidR="00887883" w:rsidRDefault="00887883" w:rsidP="00EC41DB">
                  <w:pPr>
                    <w:spacing w:line="240" w:lineRule="auto"/>
                    <w:rPr>
                      <w:sz w:val="19"/>
                      <w:szCs w:val="19"/>
                    </w:rPr>
                  </w:pPr>
                  <w:r>
                    <w:rPr>
                      <w:sz w:val="19"/>
                      <w:szCs w:val="19"/>
                    </w:rPr>
                    <w:t xml:space="preserve">Photo : DETEC (étiquette-énergie) </w:t>
                  </w:r>
                </w:p>
                <w:p w14:paraId="4E6EAC97" w14:textId="3B093994" w:rsidR="009A3703" w:rsidRPr="00EC41DB" w:rsidRDefault="009A3703" w:rsidP="00EC41DB">
                  <w:pPr>
                    <w:spacing w:line="240" w:lineRule="auto"/>
                    <w:rPr>
                      <w:b/>
                      <w:bCs/>
                      <w:sz w:val="19"/>
                      <w:szCs w:val="19"/>
                    </w:rPr>
                  </w:pPr>
                  <w:r>
                    <w:rPr>
                      <w:sz w:val="19"/>
                      <w:szCs w:val="19"/>
                    </w:rPr>
                    <w:t xml:space="preserve">Photo Skoda : La Skoda Octavia, le modèle automobile le plus prisé de Suisse, se décline aussi en une version de motorisation de la catégorie d’efficience énergétique A. (Source : Skoda) </w:t>
                  </w:r>
                </w:p>
                <w:p w14:paraId="6C842580" w14:textId="77777777" w:rsidR="00B262FE" w:rsidRPr="00E502BF" w:rsidRDefault="00B262FE" w:rsidP="003E4217">
                  <w:pPr>
                    <w:spacing w:line="276" w:lineRule="auto"/>
                    <w:rPr>
                      <w:rFonts w:cs="Arial"/>
                      <w:color w:val="000000"/>
                      <w:sz w:val="20"/>
                      <w:szCs w:val="20"/>
                    </w:rPr>
                  </w:pPr>
                </w:p>
                <w:p w14:paraId="6C310B20" w14:textId="77777777" w:rsidR="00377004" w:rsidRDefault="00377004" w:rsidP="00377004">
                  <w:pPr>
                    <w:pStyle w:val="fuerFragenkursiv"/>
                    <w:spacing w:line="240" w:lineRule="auto"/>
                    <w:ind w:right="-114"/>
                    <w:rPr>
                      <w:sz w:val="16"/>
                      <w:szCs w:val="16"/>
                    </w:rPr>
                  </w:pPr>
                  <w:r>
                    <w:rPr>
                      <w:b/>
                      <w:sz w:val="16"/>
                      <w:szCs w:val="16"/>
                    </w:rPr>
                    <w:t>De plus amples informations</w:t>
                  </w:r>
                  <w:r>
                    <w:rPr>
                      <w:sz w:val="16"/>
                      <w:szCs w:val="16"/>
                    </w:rPr>
                    <w:t xml:space="preserve"> sont disponibles auprès de Markus Peter, Technique &amp; Environnement UPSA, téléphone 031 307 15 29, e-mail </w:t>
                  </w:r>
                  <w:hyperlink r:id="rId9" w:history="1">
                    <w:r>
                      <w:rPr>
                        <w:rStyle w:val="Hyperlink"/>
                        <w:sz w:val="16"/>
                        <w:szCs w:val="16"/>
                      </w:rPr>
                      <w:t>markus.peter@agvs-upsa.ch</w:t>
                    </w:r>
                  </w:hyperlink>
                  <w:r>
                    <w:rPr>
                      <w:sz w:val="16"/>
                      <w:szCs w:val="16"/>
                    </w:rPr>
                    <w:t>.</w:t>
                  </w:r>
                </w:p>
                <w:p w14:paraId="3084CB5A" w14:textId="77777777" w:rsidR="00377004" w:rsidRPr="000C1591" w:rsidRDefault="00377004" w:rsidP="00377004">
                  <w:pPr>
                    <w:pStyle w:val="fuerFragenkursiv"/>
                    <w:spacing w:line="240" w:lineRule="auto"/>
                    <w:ind w:right="-114"/>
                    <w:rPr>
                      <w:sz w:val="16"/>
                      <w:szCs w:val="16"/>
                    </w:rPr>
                  </w:pPr>
                  <w:r>
                    <w:rPr>
                      <w:b/>
                      <w:sz w:val="16"/>
                      <w:szCs w:val="16"/>
                    </w:rPr>
                    <w:t>Coordination :</w:t>
                  </w:r>
                  <w:r>
                    <w:rPr>
                      <w:sz w:val="16"/>
                      <w:szCs w:val="16"/>
                    </w:rPr>
                    <w:t xml:space="preserve"> Serina Danz, Communication &amp; médias UPSA, tél. 031 307 15 43, courriel serina.danz@agvs-upsa.ch.</w:t>
                  </w:r>
                </w:p>
                <w:p w14:paraId="1A51530E" w14:textId="77777777" w:rsidR="00B254FD" w:rsidRPr="00B254FD" w:rsidRDefault="00B254FD" w:rsidP="003E4217">
                  <w:pPr>
                    <w:spacing w:line="240" w:lineRule="auto"/>
                    <w:jc w:val="left"/>
                    <w:rPr>
                      <w:i/>
                      <w:color w:val="000000"/>
                      <w:sz w:val="18"/>
                      <w:szCs w:val="18"/>
                    </w:rPr>
                  </w:pPr>
                  <w:bookmarkStart w:id="1" w:name="OLE_LINK1"/>
                  <w:bookmarkStart w:id="2" w:name="OLE_LINK2"/>
                </w:p>
                <w:p w14:paraId="3CEBFD3A" w14:textId="77777777" w:rsidR="00B254FD" w:rsidRPr="00B254FD" w:rsidRDefault="00B254FD" w:rsidP="003E4217">
                  <w:pPr>
                    <w:spacing w:line="220" w:lineRule="atLeast"/>
                    <w:jc w:val="left"/>
                    <w:rPr>
                      <w:rFonts w:cs="Arial"/>
                      <w:b/>
                      <w:i/>
                      <w:iCs/>
                      <w:sz w:val="18"/>
                      <w:szCs w:val="18"/>
                    </w:rPr>
                  </w:pPr>
                  <w:r>
                    <w:rPr>
                      <w:b/>
                      <w:i/>
                      <w:iCs/>
                      <w:sz w:val="18"/>
                      <w:szCs w:val="18"/>
                    </w:rPr>
                    <w:t>L’Union professionnelle suisse de l’automobile (UPSA)</w:t>
                  </w:r>
                </w:p>
                <w:p w14:paraId="445E7C4D" w14:textId="77777777" w:rsidR="00B254FD" w:rsidRPr="00B254FD" w:rsidRDefault="00B254FD" w:rsidP="003E4217">
                  <w:pPr>
                    <w:spacing w:line="220" w:lineRule="atLeast"/>
                    <w:jc w:val="left"/>
                    <w:rPr>
                      <w:rFonts w:cs="Arial"/>
                      <w:i/>
                      <w:iCs/>
                      <w:sz w:val="18"/>
                      <w:szCs w:val="18"/>
                    </w:rPr>
                  </w:pPr>
                  <w:r>
                    <w:rPr>
                      <w:i/>
                      <w:iCs/>
                      <w:sz w:val="18"/>
                      <w:szCs w:val="18"/>
                    </w:rPr>
                    <w:t>Fondée en 1927, l’UPSA est aujourd’hui la première association sectorielle et professionnelle des garagistes suisses, dont elle représente les intérêts. Environ 4 000 petites, moyennes et grandes entreprises, des concessionnaires de marque et des entreprises indépendantes sont membres de l’UPSA. Les 39 000 collaborateurs des entreprises UPSA – dont environ 9 000 personnes en formation – vendent, entretiennent et réparent la plus grande partie du parc automobile suisse qui compte environ 6 millions de véhicules.</w:t>
                  </w:r>
                </w:p>
                <w:bookmarkEnd w:id="1"/>
                <w:bookmarkEnd w:id="2"/>
                <w:p w14:paraId="77D374D4" w14:textId="77777777" w:rsidR="00B254FD" w:rsidRDefault="00B254FD" w:rsidP="003E4217">
                  <w:pPr>
                    <w:spacing w:line="240" w:lineRule="auto"/>
                    <w:jc w:val="left"/>
                    <w:rPr>
                      <w:i/>
                      <w:color w:val="000000"/>
                      <w:sz w:val="18"/>
                      <w:szCs w:val="18"/>
                    </w:rPr>
                  </w:pPr>
                </w:p>
                <w:p w14:paraId="0635E793" w14:textId="77777777" w:rsidR="002F30E8" w:rsidRPr="00B254FD" w:rsidRDefault="002F30E8" w:rsidP="003E4217">
                  <w:pPr>
                    <w:spacing w:line="240" w:lineRule="auto"/>
                    <w:jc w:val="left"/>
                    <w:rPr>
                      <w:i/>
                      <w:color w:val="000000"/>
                      <w:sz w:val="18"/>
                      <w:szCs w:val="18"/>
                    </w:rPr>
                  </w:pPr>
                </w:p>
                <w:p w14:paraId="5D019DEF" w14:textId="77777777" w:rsidR="00B254FD" w:rsidRPr="00B254FD" w:rsidRDefault="00B254FD" w:rsidP="003E4217">
                  <w:pPr>
                    <w:spacing w:line="240" w:lineRule="auto"/>
                    <w:jc w:val="left"/>
                    <w:rPr>
                      <w:b/>
                      <w:bCs/>
                      <w:sz w:val="18"/>
                      <w:szCs w:val="22"/>
                    </w:rPr>
                  </w:pPr>
                  <w:r>
                    <w:rPr>
                      <w:b/>
                      <w:bCs/>
                      <w:sz w:val="18"/>
                      <w:szCs w:val="22"/>
                    </w:rPr>
                    <w:t xml:space="preserve">Textes et images disponibles en téléchargement sur le site </w:t>
                  </w:r>
                  <w:hyperlink r:id="rId10" w:history="1">
                    <w:r>
                      <w:rPr>
                        <w:b/>
                        <w:bCs/>
                        <w:sz w:val="18"/>
                        <w:szCs w:val="22"/>
                      </w:rPr>
                      <w:t>www.agvs-upsa.ch</w:t>
                    </w:r>
                  </w:hyperlink>
                  <w:r>
                    <w:rPr>
                      <w:b/>
                      <w:bCs/>
                      <w:sz w:val="18"/>
                      <w:szCs w:val="22"/>
                    </w:rPr>
                    <w:t>, dans la rubrique « Communiqué de presse » située en bas de page</w:t>
                  </w:r>
                </w:p>
                <w:p w14:paraId="2214C81F" w14:textId="77777777" w:rsidR="00B254FD" w:rsidRPr="00B254FD" w:rsidRDefault="00B254FD" w:rsidP="003E4217">
                  <w:pPr>
                    <w:spacing w:line="240" w:lineRule="auto"/>
                    <w:jc w:val="left"/>
                    <w:rPr>
                      <w:b/>
                      <w:bCs/>
                      <w:sz w:val="18"/>
                      <w:szCs w:val="22"/>
                    </w:rPr>
                  </w:pPr>
                </w:p>
                <w:p w14:paraId="124E0F20" w14:textId="77777777" w:rsidR="00041E78" w:rsidRPr="004F02AC" w:rsidRDefault="00041E78" w:rsidP="003E4217">
                  <w:pPr>
                    <w:spacing w:line="276" w:lineRule="auto"/>
                    <w:rPr>
                      <w:i/>
                      <w:sz w:val="20"/>
                      <w:szCs w:val="20"/>
                    </w:rPr>
                  </w:pPr>
                </w:p>
              </w:tc>
            </w:tr>
          </w:tbl>
          <w:p w14:paraId="3E711547" w14:textId="77777777" w:rsidR="006F5208" w:rsidRPr="00E502BF" w:rsidRDefault="006F5208" w:rsidP="003E4217">
            <w:pPr>
              <w:spacing w:line="276" w:lineRule="auto"/>
              <w:rPr>
                <w:b/>
                <w:sz w:val="20"/>
                <w:szCs w:val="20"/>
              </w:rPr>
            </w:pPr>
          </w:p>
        </w:tc>
      </w:tr>
    </w:tbl>
    <w:p w14:paraId="5B0FC089" w14:textId="71AFA49E" w:rsidR="00041E78" w:rsidRPr="003D2F5A" w:rsidRDefault="00041E78" w:rsidP="00331584">
      <w:pPr>
        <w:spacing w:line="300" w:lineRule="auto"/>
        <w:rPr>
          <w:sz w:val="16"/>
          <w:szCs w:val="16"/>
        </w:rPr>
      </w:pPr>
    </w:p>
    <w:sectPr w:rsidR="00041E78" w:rsidRPr="003D2F5A" w:rsidSect="002F30E8">
      <w:footerReference w:type="default" r:id="rId11"/>
      <w:headerReference w:type="first" r:id="rId12"/>
      <w:footerReference w:type="first" r:id="rId13"/>
      <w:pgSz w:w="11907" w:h="16840" w:code="150"/>
      <w:pgMar w:top="2552" w:right="1134" w:bottom="1418" w:left="1701" w:header="0" w:footer="46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A3E6A" w14:textId="77777777" w:rsidR="00BF4CB1" w:rsidRDefault="00BF4CB1">
      <w:r>
        <w:separator/>
      </w:r>
    </w:p>
  </w:endnote>
  <w:endnote w:type="continuationSeparator" w:id="0">
    <w:p w14:paraId="03A75C0F" w14:textId="77777777" w:rsidR="00BF4CB1" w:rsidRDefault="00BF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9"/>
      <w:gridCol w:w="3573"/>
    </w:tblGrid>
    <w:tr w:rsidR="002420CF" w:rsidRPr="002420CF" w14:paraId="0AB6A00A" w14:textId="77777777" w:rsidTr="00595D80">
      <w:trPr>
        <w:trHeight w:val="160"/>
      </w:trPr>
      <w:tc>
        <w:tcPr>
          <w:tcW w:w="6067" w:type="dxa"/>
          <w:vAlign w:val="bottom"/>
        </w:tcPr>
        <w:p w14:paraId="28AE5F34" w14:textId="6B33E4F8" w:rsidR="002420CF" w:rsidRPr="002420CF" w:rsidRDefault="002420CF" w:rsidP="002420CF">
          <w:pPr>
            <w:spacing w:line="160" w:lineRule="exact"/>
            <w:rPr>
              <w:sz w:val="16"/>
              <w:szCs w:val="16"/>
            </w:rPr>
          </w:pPr>
          <w:r>
            <w:rPr>
              <w:sz w:val="16"/>
              <w:szCs w:val="16"/>
            </w:rPr>
            <w:t xml:space="preserve">Page </w:t>
          </w:r>
          <w:r w:rsidRPr="002420CF">
            <w:rPr>
              <w:sz w:val="16"/>
              <w:szCs w:val="16"/>
            </w:rPr>
            <w:fldChar w:fldCharType="begin"/>
          </w:r>
          <w:r w:rsidRPr="002420CF">
            <w:rPr>
              <w:sz w:val="16"/>
              <w:szCs w:val="16"/>
            </w:rPr>
            <w:instrText xml:space="preserve"> PAGE </w:instrText>
          </w:r>
          <w:r w:rsidRPr="002420CF">
            <w:rPr>
              <w:sz w:val="16"/>
              <w:szCs w:val="16"/>
            </w:rPr>
            <w:fldChar w:fldCharType="separate"/>
          </w:r>
          <w:r w:rsidR="003B4452">
            <w:rPr>
              <w:noProof/>
              <w:sz w:val="16"/>
              <w:szCs w:val="16"/>
            </w:rPr>
            <w:t>2</w:t>
          </w:r>
          <w:r w:rsidRPr="002420CF">
            <w:rPr>
              <w:sz w:val="16"/>
              <w:szCs w:val="16"/>
            </w:rPr>
            <w:fldChar w:fldCharType="end"/>
          </w:r>
          <w:r>
            <w:rPr>
              <w:sz w:val="16"/>
              <w:szCs w:val="16"/>
            </w:rPr>
            <w:t xml:space="preserve"> sur </w:t>
          </w:r>
          <w:r w:rsidRPr="002420CF">
            <w:rPr>
              <w:sz w:val="16"/>
              <w:szCs w:val="16"/>
            </w:rPr>
            <w:fldChar w:fldCharType="begin"/>
          </w:r>
          <w:r w:rsidRPr="002420CF">
            <w:rPr>
              <w:sz w:val="16"/>
              <w:szCs w:val="16"/>
            </w:rPr>
            <w:instrText xml:space="preserve"> NUMPAGES </w:instrText>
          </w:r>
          <w:r w:rsidRPr="002420CF">
            <w:rPr>
              <w:sz w:val="16"/>
              <w:szCs w:val="16"/>
            </w:rPr>
            <w:fldChar w:fldCharType="separate"/>
          </w:r>
          <w:r w:rsidR="003B4452">
            <w:rPr>
              <w:noProof/>
              <w:sz w:val="16"/>
              <w:szCs w:val="16"/>
            </w:rPr>
            <w:t>2</w:t>
          </w:r>
          <w:r w:rsidRPr="002420CF">
            <w:rPr>
              <w:sz w:val="16"/>
              <w:szCs w:val="16"/>
            </w:rPr>
            <w:fldChar w:fldCharType="end"/>
          </w:r>
        </w:p>
      </w:tc>
      <w:tc>
        <w:tcPr>
          <w:tcW w:w="3969" w:type="dxa"/>
        </w:tcPr>
        <w:p w14:paraId="44870424" w14:textId="77777777" w:rsidR="002420CF" w:rsidRPr="002420CF" w:rsidRDefault="002420CF" w:rsidP="002420CF">
          <w:pPr>
            <w:spacing w:line="160" w:lineRule="exact"/>
            <w:rPr>
              <w:sz w:val="16"/>
              <w:szCs w:val="16"/>
              <w:lang w:val="en-GB"/>
            </w:rPr>
          </w:pPr>
        </w:p>
      </w:tc>
    </w:tr>
  </w:tbl>
  <w:p w14:paraId="1B2653A3" w14:textId="77777777" w:rsidR="002420CF" w:rsidRDefault="002420CF" w:rsidP="00810D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45023" w14:textId="77777777" w:rsidR="009A2448" w:rsidRDefault="00810D20">
    <w:pPr>
      <w:pStyle w:val="Kopfzeile"/>
      <w:tabs>
        <w:tab w:val="clear" w:pos="4536"/>
        <w:tab w:val="clear" w:pos="9072"/>
      </w:tabs>
    </w:pPr>
    <w:r>
      <w:rPr>
        <w:noProof/>
        <w:vanish/>
        <w:lang w:val="de-CH"/>
      </w:rPr>
      <w:drawing>
        <wp:anchor distT="0" distB="0" distL="114300" distR="114300" simplePos="0" relativeHeight="251663360" behindDoc="0" locked="0" layoutInCell="1" allowOverlap="1" wp14:anchorId="1131D06B" wp14:editId="3F155ACF">
          <wp:simplePos x="0" y="0"/>
          <wp:positionH relativeFrom="column">
            <wp:posOffset>4253230</wp:posOffset>
          </wp:positionH>
          <wp:positionV relativeFrom="paragraph">
            <wp:posOffset>-161290</wp:posOffset>
          </wp:positionV>
          <wp:extent cx="1806575" cy="416560"/>
          <wp:effectExtent l="0" t="0" r="3175"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57216" behindDoc="0" locked="0" layoutInCell="1" allowOverlap="1" wp14:anchorId="31498B0C" wp14:editId="6D6808A6">
          <wp:simplePos x="0" y="0"/>
          <wp:positionH relativeFrom="column">
            <wp:posOffset>4445</wp:posOffset>
          </wp:positionH>
          <wp:positionV relativeFrom="paragraph">
            <wp:posOffset>45085</wp:posOffset>
          </wp:positionV>
          <wp:extent cx="1143000" cy="244475"/>
          <wp:effectExtent l="0" t="0" r="0" b="3175"/>
          <wp:wrapNone/>
          <wp:docPr id="42"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5467F" w14:textId="77777777" w:rsidR="00BF4CB1" w:rsidRDefault="00BF4CB1">
      <w:r>
        <w:separator/>
      </w:r>
    </w:p>
  </w:footnote>
  <w:footnote w:type="continuationSeparator" w:id="0">
    <w:p w14:paraId="49B6A699" w14:textId="77777777" w:rsidR="00BF4CB1" w:rsidRDefault="00BF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5F19" w14:textId="3D2A8BAB" w:rsidR="009A2448" w:rsidRDefault="00BE3BF4" w:rsidP="006656A8">
    <w:r>
      <w:rPr>
        <w:noProof/>
        <w:lang w:val="de-CH"/>
      </w:rPr>
      <w:drawing>
        <wp:anchor distT="0" distB="0" distL="114300" distR="114300" simplePos="0" relativeHeight="251654144" behindDoc="0" locked="0" layoutInCell="1" allowOverlap="1" wp14:anchorId="52B070F4" wp14:editId="55EA1B9A">
          <wp:simplePos x="0" y="0"/>
          <wp:positionH relativeFrom="column">
            <wp:posOffset>3878580</wp:posOffset>
          </wp:positionH>
          <wp:positionV relativeFrom="paragraph">
            <wp:posOffset>499745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B626EFF"/>
    <w:multiLevelType w:val="hybridMultilevel"/>
    <w:tmpl w:val="0FA6C830"/>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3600616"/>
    <w:multiLevelType w:val="hybridMultilevel"/>
    <w:tmpl w:val="F0DE3BD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91"/>
    <w:rsid w:val="000057EB"/>
    <w:rsid w:val="00005F84"/>
    <w:rsid w:val="00010DE1"/>
    <w:rsid w:val="00011DFB"/>
    <w:rsid w:val="00016200"/>
    <w:rsid w:val="000175F0"/>
    <w:rsid w:val="00025A1F"/>
    <w:rsid w:val="00041E78"/>
    <w:rsid w:val="00044467"/>
    <w:rsid w:val="00050F00"/>
    <w:rsid w:val="0005205E"/>
    <w:rsid w:val="00062B04"/>
    <w:rsid w:val="00064FE5"/>
    <w:rsid w:val="000733AA"/>
    <w:rsid w:val="00076330"/>
    <w:rsid w:val="00076939"/>
    <w:rsid w:val="000811C4"/>
    <w:rsid w:val="00084837"/>
    <w:rsid w:val="00085A4D"/>
    <w:rsid w:val="0009159E"/>
    <w:rsid w:val="00091CCA"/>
    <w:rsid w:val="00094CC9"/>
    <w:rsid w:val="00097BAF"/>
    <w:rsid w:val="000A21D0"/>
    <w:rsid w:val="000B49DA"/>
    <w:rsid w:val="000B5DE6"/>
    <w:rsid w:val="000C3B86"/>
    <w:rsid w:val="000D38AE"/>
    <w:rsid w:val="000D4F13"/>
    <w:rsid w:val="000D57D2"/>
    <w:rsid w:val="0010275E"/>
    <w:rsid w:val="00112D8E"/>
    <w:rsid w:val="00114318"/>
    <w:rsid w:val="0011503B"/>
    <w:rsid w:val="00117D33"/>
    <w:rsid w:val="0012324E"/>
    <w:rsid w:val="001319FC"/>
    <w:rsid w:val="00136C29"/>
    <w:rsid w:val="00152CE3"/>
    <w:rsid w:val="00155CFF"/>
    <w:rsid w:val="00157BF3"/>
    <w:rsid w:val="0016437B"/>
    <w:rsid w:val="001661F3"/>
    <w:rsid w:val="00167602"/>
    <w:rsid w:val="00175C26"/>
    <w:rsid w:val="00193358"/>
    <w:rsid w:val="001A1331"/>
    <w:rsid w:val="001A45D7"/>
    <w:rsid w:val="001A6EB3"/>
    <w:rsid w:val="001B17DB"/>
    <w:rsid w:val="001C3243"/>
    <w:rsid w:val="001F499A"/>
    <w:rsid w:val="001F7CE6"/>
    <w:rsid w:val="00202B3C"/>
    <w:rsid w:val="002420CF"/>
    <w:rsid w:val="002455D0"/>
    <w:rsid w:val="00250288"/>
    <w:rsid w:val="00253276"/>
    <w:rsid w:val="002622FB"/>
    <w:rsid w:val="002632CA"/>
    <w:rsid w:val="00264C78"/>
    <w:rsid w:val="00272CEE"/>
    <w:rsid w:val="00277AC2"/>
    <w:rsid w:val="002833DA"/>
    <w:rsid w:val="002A36F1"/>
    <w:rsid w:val="002B1F64"/>
    <w:rsid w:val="002B6115"/>
    <w:rsid w:val="002D015D"/>
    <w:rsid w:val="002D2A61"/>
    <w:rsid w:val="002E1A4C"/>
    <w:rsid w:val="002E2356"/>
    <w:rsid w:val="002F12FD"/>
    <w:rsid w:val="002F1EEF"/>
    <w:rsid w:val="002F30E8"/>
    <w:rsid w:val="003032F5"/>
    <w:rsid w:val="00303CF6"/>
    <w:rsid w:val="00310ACA"/>
    <w:rsid w:val="003116EF"/>
    <w:rsid w:val="00312115"/>
    <w:rsid w:val="00315A82"/>
    <w:rsid w:val="00317457"/>
    <w:rsid w:val="00331584"/>
    <w:rsid w:val="00336CB5"/>
    <w:rsid w:val="00353099"/>
    <w:rsid w:val="0035498C"/>
    <w:rsid w:val="0035505B"/>
    <w:rsid w:val="0035684F"/>
    <w:rsid w:val="0036044B"/>
    <w:rsid w:val="00372113"/>
    <w:rsid w:val="00374184"/>
    <w:rsid w:val="00377004"/>
    <w:rsid w:val="00381533"/>
    <w:rsid w:val="00382CE5"/>
    <w:rsid w:val="00384EAA"/>
    <w:rsid w:val="003851C2"/>
    <w:rsid w:val="00386044"/>
    <w:rsid w:val="00387794"/>
    <w:rsid w:val="0039175B"/>
    <w:rsid w:val="003972D8"/>
    <w:rsid w:val="00397ECD"/>
    <w:rsid w:val="003B4452"/>
    <w:rsid w:val="003C0547"/>
    <w:rsid w:val="003D01FC"/>
    <w:rsid w:val="003D0427"/>
    <w:rsid w:val="003D2F5A"/>
    <w:rsid w:val="003E4217"/>
    <w:rsid w:val="003F1583"/>
    <w:rsid w:val="00422A5E"/>
    <w:rsid w:val="00423B09"/>
    <w:rsid w:val="00425E25"/>
    <w:rsid w:val="00427FC8"/>
    <w:rsid w:val="004637B5"/>
    <w:rsid w:val="00465431"/>
    <w:rsid w:val="00476093"/>
    <w:rsid w:val="00477A4E"/>
    <w:rsid w:val="004827CC"/>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05091"/>
    <w:rsid w:val="0061086E"/>
    <w:rsid w:val="00620B55"/>
    <w:rsid w:val="006271D5"/>
    <w:rsid w:val="0064184E"/>
    <w:rsid w:val="00644B42"/>
    <w:rsid w:val="006450B7"/>
    <w:rsid w:val="0064581C"/>
    <w:rsid w:val="00645A67"/>
    <w:rsid w:val="0065071F"/>
    <w:rsid w:val="00650D57"/>
    <w:rsid w:val="006515E4"/>
    <w:rsid w:val="0065456B"/>
    <w:rsid w:val="00654AA9"/>
    <w:rsid w:val="00662A10"/>
    <w:rsid w:val="006656A8"/>
    <w:rsid w:val="006727FE"/>
    <w:rsid w:val="00673A8B"/>
    <w:rsid w:val="00676817"/>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3599"/>
    <w:rsid w:val="006F5208"/>
    <w:rsid w:val="007044FB"/>
    <w:rsid w:val="007107CD"/>
    <w:rsid w:val="00714172"/>
    <w:rsid w:val="007172EB"/>
    <w:rsid w:val="00717337"/>
    <w:rsid w:val="007241F8"/>
    <w:rsid w:val="00734188"/>
    <w:rsid w:val="0074253C"/>
    <w:rsid w:val="00754113"/>
    <w:rsid w:val="007569F9"/>
    <w:rsid w:val="00782FC8"/>
    <w:rsid w:val="007834C2"/>
    <w:rsid w:val="007907D6"/>
    <w:rsid w:val="0079586B"/>
    <w:rsid w:val="007A38C4"/>
    <w:rsid w:val="007A4664"/>
    <w:rsid w:val="007B0CA7"/>
    <w:rsid w:val="007B453E"/>
    <w:rsid w:val="007B5F28"/>
    <w:rsid w:val="007C143D"/>
    <w:rsid w:val="007C38C1"/>
    <w:rsid w:val="007D2EAA"/>
    <w:rsid w:val="007D40CB"/>
    <w:rsid w:val="007D7E89"/>
    <w:rsid w:val="007E241A"/>
    <w:rsid w:val="007E53D2"/>
    <w:rsid w:val="007F1A0F"/>
    <w:rsid w:val="00805B9A"/>
    <w:rsid w:val="00807632"/>
    <w:rsid w:val="00810D20"/>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87883"/>
    <w:rsid w:val="00892E6B"/>
    <w:rsid w:val="008A3296"/>
    <w:rsid w:val="008A5A8C"/>
    <w:rsid w:val="008B071A"/>
    <w:rsid w:val="008B1F2A"/>
    <w:rsid w:val="008B2240"/>
    <w:rsid w:val="008B266D"/>
    <w:rsid w:val="008B3280"/>
    <w:rsid w:val="008C0526"/>
    <w:rsid w:val="008C4B1C"/>
    <w:rsid w:val="008D4252"/>
    <w:rsid w:val="008D770A"/>
    <w:rsid w:val="008E78B1"/>
    <w:rsid w:val="00900020"/>
    <w:rsid w:val="00903B96"/>
    <w:rsid w:val="00907747"/>
    <w:rsid w:val="00911E4C"/>
    <w:rsid w:val="00917349"/>
    <w:rsid w:val="00927636"/>
    <w:rsid w:val="00930A14"/>
    <w:rsid w:val="00934137"/>
    <w:rsid w:val="00942C16"/>
    <w:rsid w:val="0095532A"/>
    <w:rsid w:val="0096146C"/>
    <w:rsid w:val="009636C1"/>
    <w:rsid w:val="00963FFE"/>
    <w:rsid w:val="0097771F"/>
    <w:rsid w:val="00981697"/>
    <w:rsid w:val="00981A32"/>
    <w:rsid w:val="00986831"/>
    <w:rsid w:val="00991C64"/>
    <w:rsid w:val="009A2448"/>
    <w:rsid w:val="009A3703"/>
    <w:rsid w:val="009A67FB"/>
    <w:rsid w:val="009B0B47"/>
    <w:rsid w:val="009C73CD"/>
    <w:rsid w:val="009C7528"/>
    <w:rsid w:val="009D2B99"/>
    <w:rsid w:val="009D32F0"/>
    <w:rsid w:val="009D4450"/>
    <w:rsid w:val="009E686A"/>
    <w:rsid w:val="009F168A"/>
    <w:rsid w:val="009F1B2B"/>
    <w:rsid w:val="00A1555A"/>
    <w:rsid w:val="00A234EC"/>
    <w:rsid w:val="00A27BBA"/>
    <w:rsid w:val="00A27E77"/>
    <w:rsid w:val="00A31DC6"/>
    <w:rsid w:val="00A402D8"/>
    <w:rsid w:val="00A44A3C"/>
    <w:rsid w:val="00A5044D"/>
    <w:rsid w:val="00A64DB0"/>
    <w:rsid w:val="00A72BF4"/>
    <w:rsid w:val="00A777E9"/>
    <w:rsid w:val="00A97DEC"/>
    <w:rsid w:val="00A97DF5"/>
    <w:rsid w:val="00AA2FC4"/>
    <w:rsid w:val="00AB4FCE"/>
    <w:rsid w:val="00AC52FA"/>
    <w:rsid w:val="00AD32F7"/>
    <w:rsid w:val="00AD6BBB"/>
    <w:rsid w:val="00AE4221"/>
    <w:rsid w:val="00AE45C2"/>
    <w:rsid w:val="00AF13B5"/>
    <w:rsid w:val="00AF63DF"/>
    <w:rsid w:val="00B02F91"/>
    <w:rsid w:val="00B21E12"/>
    <w:rsid w:val="00B254FD"/>
    <w:rsid w:val="00B2614E"/>
    <w:rsid w:val="00B262FE"/>
    <w:rsid w:val="00B27FCD"/>
    <w:rsid w:val="00B302DF"/>
    <w:rsid w:val="00B32F78"/>
    <w:rsid w:val="00B42C70"/>
    <w:rsid w:val="00B47396"/>
    <w:rsid w:val="00B5449B"/>
    <w:rsid w:val="00B61491"/>
    <w:rsid w:val="00B62114"/>
    <w:rsid w:val="00B6323F"/>
    <w:rsid w:val="00B701DD"/>
    <w:rsid w:val="00B752B1"/>
    <w:rsid w:val="00B81D42"/>
    <w:rsid w:val="00B9766B"/>
    <w:rsid w:val="00BA4239"/>
    <w:rsid w:val="00BB4311"/>
    <w:rsid w:val="00BC614C"/>
    <w:rsid w:val="00BE098A"/>
    <w:rsid w:val="00BE3BF4"/>
    <w:rsid w:val="00BE6E6A"/>
    <w:rsid w:val="00BF34AE"/>
    <w:rsid w:val="00BF4CB1"/>
    <w:rsid w:val="00C049BD"/>
    <w:rsid w:val="00C05CCD"/>
    <w:rsid w:val="00C05F58"/>
    <w:rsid w:val="00C13B6F"/>
    <w:rsid w:val="00C226D9"/>
    <w:rsid w:val="00C261B8"/>
    <w:rsid w:val="00C404AF"/>
    <w:rsid w:val="00C40C5D"/>
    <w:rsid w:val="00C43EC7"/>
    <w:rsid w:val="00C729AE"/>
    <w:rsid w:val="00C7354B"/>
    <w:rsid w:val="00C82B6C"/>
    <w:rsid w:val="00C918D5"/>
    <w:rsid w:val="00CA46CA"/>
    <w:rsid w:val="00CB7DB4"/>
    <w:rsid w:val="00CC271E"/>
    <w:rsid w:val="00CC45F1"/>
    <w:rsid w:val="00CD74CD"/>
    <w:rsid w:val="00CE519A"/>
    <w:rsid w:val="00CF6902"/>
    <w:rsid w:val="00D00516"/>
    <w:rsid w:val="00D13013"/>
    <w:rsid w:val="00D14013"/>
    <w:rsid w:val="00D1542E"/>
    <w:rsid w:val="00D169E7"/>
    <w:rsid w:val="00D2034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206C"/>
    <w:rsid w:val="00DC3CF6"/>
    <w:rsid w:val="00DD4D53"/>
    <w:rsid w:val="00DD7771"/>
    <w:rsid w:val="00DE4121"/>
    <w:rsid w:val="00DE559E"/>
    <w:rsid w:val="00DE5B85"/>
    <w:rsid w:val="00DF7CBD"/>
    <w:rsid w:val="00E136C0"/>
    <w:rsid w:val="00E212B7"/>
    <w:rsid w:val="00E32C4F"/>
    <w:rsid w:val="00E42586"/>
    <w:rsid w:val="00E44C00"/>
    <w:rsid w:val="00E4657E"/>
    <w:rsid w:val="00E502BF"/>
    <w:rsid w:val="00E5311B"/>
    <w:rsid w:val="00E53B75"/>
    <w:rsid w:val="00E56ACA"/>
    <w:rsid w:val="00E56F98"/>
    <w:rsid w:val="00E66876"/>
    <w:rsid w:val="00E67919"/>
    <w:rsid w:val="00E755B3"/>
    <w:rsid w:val="00E76687"/>
    <w:rsid w:val="00E91AF1"/>
    <w:rsid w:val="00E963F4"/>
    <w:rsid w:val="00EA1A85"/>
    <w:rsid w:val="00EB08A1"/>
    <w:rsid w:val="00EB59AC"/>
    <w:rsid w:val="00EC41DB"/>
    <w:rsid w:val="00EE2616"/>
    <w:rsid w:val="00EE30C3"/>
    <w:rsid w:val="00EE4A7D"/>
    <w:rsid w:val="00EE6F76"/>
    <w:rsid w:val="00EF5A0F"/>
    <w:rsid w:val="00F05FB6"/>
    <w:rsid w:val="00F1130B"/>
    <w:rsid w:val="00F11669"/>
    <w:rsid w:val="00F2471D"/>
    <w:rsid w:val="00F24A45"/>
    <w:rsid w:val="00F24EF0"/>
    <w:rsid w:val="00F477DE"/>
    <w:rsid w:val="00F530D9"/>
    <w:rsid w:val="00F61EAE"/>
    <w:rsid w:val="00F640A2"/>
    <w:rsid w:val="00F82D68"/>
    <w:rsid w:val="00F82DC2"/>
    <w:rsid w:val="00F846BD"/>
    <w:rsid w:val="00F90871"/>
    <w:rsid w:val="00F97AB4"/>
    <w:rsid w:val="00FA5ABB"/>
    <w:rsid w:val="00FA6EC1"/>
    <w:rsid w:val="00FB28A3"/>
    <w:rsid w:val="00FC795E"/>
    <w:rsid w:val="00FD15DB"/>
    <w:rsid w:val="00FD255C"/>
    <w:rsid w:val="00FD3B03"/>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151D0A6"/>
  <w15:docId w15:val="{49656C05-2969-4176-A6B7-2A5BDAEE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 w:type="paragraph" w:styleId="Listenabsatz">
    <w:name w:val="List Paragraph"/>
    <w:basedOn w:val="Standard"/>
    <w:uiPriority w:val="34"/>
    <w:qFormat/>
    <w:rsid w:val="00C04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vs-upsa.ch" TargetMode="External"/><Relationship Id="rId4" Type="http://schemas.openxmlformats.org/officeDocument/2006/relationships/settings" Target="settings.xml"/><Relationship Id="rId9" Type="http://schemas.openxmlformats.org/officeDocument/2006/relationships/hyperlink" Target="mailto:markus.peter@agvs-upsa.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EC_Vorlagen\AEC_Medieninformation_Vorlagen\AEC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C806E-9360-4029-A50D-70F50061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AEC_d_Medieninformation_Vorlage</Template>
  <TotalTime>0</TotalTime>
  <Pages>2</Pages>
  <Words>988</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6797</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Mike Gadient</dc:creator>
  <cp:lastModifiedBy>Serina Danz</cp:lastModifiedBy>
  <cp:revision>3</cp:revision>
  <cp:lastPrinted>2017-11-27T14:01:00Z</cp:lastPrinted>
  <dcterms:created xsi:type="dcterms:W3CDTF">2021-01-27T17:31:00Z</dcterms:created>
  <dcterms:modified xsi:type="dcterms:W3CDTF">2021-02-08T10:14:00Z</dcterms:modified>
</cp:coreProperties>
</file>