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583BDB31" w14:textId="03968871" w:rsidR="00442CB5" w:rsidRDefault="00705DBF" w:rsidP="00442CB5">
      <w:pPr>
        <w:spacing w:line="240" w:lineRule="auto"/>
        <w:rPr>
          <w:b/>
        </w:rPr>
      </w:pPr>
      <w:r>
        <w:rPr>
          <w:b/>
        </w:rPr>
        <w:t>Électrique, hybride, GNC, essence ou diesel</w:t>
      </w:r>
    </w:p>
    <w:p w14:paraId="302E31F0" w14:textId="3DC54090" w:rsidR="00344164" w:rsidRDefault="00705DBF" w:rsidP="00344164">
      <w:pPr>
        <w:spacing w:line="240" w:lineRule="auto"/>
        <w:rPr>
          <w:b/>
          <w:sz w:val="32"/>
          <w:szCs w:val="32"/>
        </w:rPr>
      </w:pPr>
      <w:r>
        <w:rPr>
          <w:b/>
          <w:sz w:val="32"/>
        </w:rPr>
        <w:t xml:space="preserve">Achat ou abonnement ? Quel entraînement choisir ?   </w:t>
      </w:r>
    </w:p>
    <w:p w14:paraId="32E2B71D" w14:textId="77777777" w:rsidR="00F7612B" w:rsidRDefault="00F7612B" w:rsidP="00344164">
      <w:pPr>
        <w:spacing w:line="240" w:lineRule="auto"/>
        <w:rPr>
          <w:b/>
        </w:rPr>
      </w:pPr>
    </w:p>
    <w:p w14:paraId="3555E5D7" w14:textId="13C26CB1" w:rsidR="00344164" w:rsidRDefault="00215793" w:rsidP="00344164">
      <w:pPr>
        <w:spacing w:line="240" w:lineRule="auto"/>
        <w:rPr>
          <w:b/>
          <w:sz w:val="19"/>
          <w:szCs w:val="19"/>
        </w:rPr>
      </w:pPr>
      <w:r w:rsidRPr="00215793">
        <w:rPr>
          <w:b/>
          <w:i/>
          <w:sz w:val="19"/>
        </w:rPr>
        <w:t>Berne, le 03</w:t>
      </w:r>
      <w:r w:rsidR="00344164" w:rsidRPr="00215793">
        <w:rPr>
          <w:b/>
          <w:i/>
          <w:sz w:val="19"/>
        </w:rPr>
        <w:t xml:space="preserve"> mai 2021</w:t>
      </w:r>
      <w:r w:rsidR="00344164" w:rsidRPr="00215793">
        <w:rPr>
          <w:b/>
          <w:sz w:val="19"/>
        </w:rPr>
        <w:t xml:space="preserve"> – Électrique, GNC ou combustion classique ? Chaque entraînement ne convient</w:t>
      </w:r>
      <w:r w:rsidR="00344164">
        <w:rPr>
          <w:b/>
          <w:sz w:val="19"/>
        </w:rPr>
        <w:t xml:space="preserve"> pas à tout le monde. Les garagistes de l’Union professionnelle suisse de l'automobile (UPSA) connaissent les avantages et les inconvénients des différents entraînements. Bon nombre d’entre eux proposent une vaste solution avec de plus en plus souvent des abonnements automobiles, à savoir des voitures disponibles à un prix forfaitaire mensuel.</w:t>
      </w:r>
    </w:p>
    <w:p w14:paraId="6D81EEA2" w14:textId="77777777" w:rsidR="005F70E7" w:rsidRDefault="005F70E7" w:rsidP="001B6881">
      <w:pPr>
        <w:spacing w:line="240" w:lineRule="auto"/>
        <w:rPr>
          <w:sz w:val="19"/>
          <w:szCs w:val="19"/>
        </w:rPr>
      </w:pPr>
    </w:p>
    <w:p w14:paraId="4AA65D9B" w14:textId="794F493C" w:rsidR="00705DBF" w:rsidRDefault="00705DBF" w:rsidP="00705DBF">
      <w:pPr>
        <w:spacing w:line="240" w:lineRule="auto"/>
        <w:rPr>
          <w:sz w:val="19"/>
          <w:szCs w:val="19"/>
        </w:rPr>
      </w:pPr>
      <w:r>
        <w:rPr>
          <w:sz w:val="19"/>
        </w:rPr>
        <w:t>Jamais encore l’éventail de techno</w:t>
      </w:r>
      <w:bookmarkStart w:id="1" w:name="_GoBack"/>
      <w:bookmarkEnd w:id="1"/>
      <w:r>
        <w:rPr>
          <w:sz w:val="19"/>
        </w:rPr>
        <w:t xml:space="preserve">logies d’entraînement n’avait été si vaste : moteurs essence et diesel, véhicules électriques, différentes variantes d’hybrides, hydrogène et GNC (gaz naturel et biogaz). Lors du choix d’une voiture neuve, il ne faut pas se concentrer sur la technologie d’entraînement mais sur l’usage préconisé. De combien de places a-t-on besoin ? Quelles distances doit-on parcourir chaque jour ? Faut-il pouvoir tirer une remorque avec le véhicule ? Possibilité de recharge au domicile ou sur le lieu de travail ? Ce sont par exemple les questions décisives à se poser lors du choix d’une voiture neuve. De plus, l’UPSA recommande de tester les différents modèles lors d’un tour d’essai chez son garagiste. </w:t>
      </w:r>
    </w:p>
    <w:p w14:paraId="0C59AF09" w14:textId="77777777" w:rsidR="00705DBF" w:rsidRPr="00705DBF" w:rsidRDefault="00705DBF" w:rsidP="00705DBF">
      <w:pPr>
        <w:spacing w:line="240" w:lineRule="auto"/>
        <w:rPr>
          <w:sz w:val="19"/>
          <w:szCs w:val="19"/>
        </w:rPr>
      </w:pPr>
    </w:p>
    <w:p w14:paraId="6B61E829" w14:textId="661FEAC0" w:rsidR="00705DBF" w:rsidRDefault="00705DBF" w:rsidP="00705DBF">
      <w:pPr>
        <w:spacing w:line="240" w:lineRule="auto"/>
        <w:rPr>
          <w:sz w:val="19"/>
          <w:szCs w:val="19"/>
        </w:rPr>
      </w:pPr>
      <w:r>
        <w:rPr>
          <w:sz w:val="19"/>
        </w:rPr>
        <w:t>Outre la question de l’entraînement, un autre aspect doit être considéré actuellement : est-il rentable d’acheter une voiture ou vaut-il mieux la prendre en leasing ou en abonnement ? Plusieurs fournisseurs automobiles ayant conclu un partenariat avec de nombreux garages de l’UPSA proposent un concept de mobilité flexible. Il permet par exemple au client de passer ses vacances d’été en France en juillet au volant d’une hybride avant de changer en septembre pour une électrique à un prix forfaitaire mensuel assorti d’un pack kilométrique ajustable chaque mois. La durée de l’abonnement peut être choisie librement sans engagement à long terme. Selon les études, l’abonnement automobile va s’établir comme un composant fixe du marché automobile. En 2025, on estime que l’abonnement automobile concernera déjà 10 % des véhicules utilisés et 40 % en 2030.</w:t>
      </w:r>
    </w:p>
    <w:p w14:paraId="7DD19DC1" w14:textId="77777777" w:rsidR="00705DBF" w:rsidRPr="00705DBF" w:rsidRDefault="00705DBF" w:rsidP="00705DBF">
      <w:pPr>
        <w:spacing w:line="240" w:lineRule="auto"/>
        <w:rPr>
          <w:sz w:val="19"/>
          <w:szCs w:val="19"/>
        </w:rPr>
      </w:pPr>
    </w:p>
    <w:p w14:paraId="26145978" w14:textId="641F0106" w:rsidR="00705DBF" w:rsidRDefault="00705DBF" w:rsidP="00705DBF">
      <w:pPr>
        <w:spacing w:line="240" w:lineRule="auto"/>
        <w:rPr>
          <w:sz w:val="19"/>
          <w:szCs w:val="19"/>
        </w:rPr>
      </w:pPr>
      <w:r>
        <w:rPr>
          <w:sz w:val="19"/>
        </w:rPr>
        <w:t xml:space="preserve">Un abonnement automobile est intéressant pour tous ceux qui ont seulement besoin d’une voiture pendant un certain temps, qui apprécient le changement ou qui veulent découvrir de nouvelles technologies d’entraînement. Au premier trimestre 2021, le nombre de nouveaux modèles hybrides et électriques sur les routes suisses a en général à nouveau progressé. Si la voiture est principalement utilisée pour de courtes ou de moyennes distances, un véhicule électrique à batterie constitue une alternative à envisager. L’avenir appartient à la voiture électrique. C’est ce que veut en tout cas la politique et ce que met en place l’industrie. Le rendement, l’efficience énergétique et l’absence d’émissions locales sont des arguments en faveur de cette technologie. S’il faut un jour parcourir plusieurs centaines de kilomètres, il est certes nécessaire de planifier un peu son trajet mais le réseau de stations de recharge publiques ne cesse de se développer. </w:t>
      </w:r>
    </w:p>
    <w:p w14:paraId="601B1345" w14:textId="77777777" w:rsidR="00705DBF" w:rsidRPr="00705DBF" w:rsidRDefault="00705DBF" w:rsidP="00705DBF">
      <w:pPr>
        <w:spacing w:line="240" w:lineRule="auto"/>
        <w:rPr>
          <w:sz w:val="19"/>
          <w:szCs w:val="19"/>
        </w:rPr>
      </w:pPr>
    </w:p>
    <w:p w14:paraId="75B90BB6" w14:textId="4BA83EB4" w:rsidR="00705DBF" w:rsidRDefault="00705DBF" w:rsidP="00705DBF">
      <w:pPr>
        <w:spacing w:line="240" w:lineRule="auto"/>
        <w:rPr>
          <w:sz w:val="19"/>
          <w:szCs w:val="19"/>
        </w:rPr>
      </w:pPr>
      <w:r>
        <w:rPr>
          <w:sz w:val="19"/>
        </w:rPr>
        <w:t>Les véhicules hybrides rechargeables équipés d’un moteur à combustion et d’un moteur électrique permettent de parcourir de longues distances. Un véhicule hybride rechargeable typique peut parcourir environ 50 kilomètres rien qu’avec son moteur électrique et se déplacer ainsi sans émettre de gaz d’échappement. Cet effet positif s’évapore si le moteur à combustion est aussi souvent utilisé pour de courtes distances car la batterie n’a pas été rechargée au préalable pour des raisons de confort ou par manque d'une station de recharge. Il n’est donc possible de profiter des avantages d’un modèle hybride rechargeable que si ce dernier est utilisé correctement et donc le plus souvent possible en électrique.</w:t>
      </w:r>
    </w:p>
    <w:p w14:paraId="08183680" w14:textId="77777777" w:rsidR="00705DBF" w:rsidRPr="00705DBF" w:rsidRDefault="00705DBF" w:rsidP="00705DBF">
      <w:pPr>
        <w:spacing w:line="240" w:lineRule="auto"/>
        <w:rPr>
          <w:sz w:val="19"/>
          <w:szCs w:val="19"/>
        </w:rPr>
      </w:pPr>
    </w:p>
    <w:p w14:paraId="57032B05" w14:textId="40E07C8E" w:rsidR="00705DBF" w:rsidRDefault="00705DBF" w:rsidP="00705DBF">
      <w:pPr>
        <w:spacing w:line="240" w:lineRule="auto"/>
        <w:rPr>
          <w:sz w:val="19"/>
          <w:szCs w:val="19"/>
        </w:rPr>
      </w:pPr>
      <w:r>
        <w:rPr>
          <w:sz w:val="19"/>
        </w:rPr>
        <w:t xml:space="preserve">Sur les longues distances, les moteurs à combustion (essence, diesel ou GNC) ont encore des avantages, notamment en ce qui concerne le plein du véhicule qui est simple et rapide à faire. </w:t>
      </w:r>
      <w:r>
        <w:t>Un véhicule GNC émet au moins 15 % de CO</w:t>
      </w:r>
      <w:r>
        <w:rPr>
          <w:vertAlign w:val="subscript"/>
        </w:rPr>
        <w:t>2</w:t>
      </w:r>
      <w:r>
        <w:t xml:space="preserve"> de moins qu’un véhicule diesel ou essence.</w:t>
      </w:r>
      <w:r>
        <w:rPr>
          <w:sz w:val="19"/>
        </w:rPr>
        <w:t xml:space="preserve"> </w:t>
      </w:r>
      <w:r>
        <w:t>En 2020, 27.3 % de biogaz (produit en Suisse) étaient mélangés au GNC suisse ce qui améliore encore le bilan de CO</w:t>
      </w:r>
      <w:r>
        <w:rPr>
          <w:vertAlign w:val="subscript"/>
        </w:rPr>
        <w:t>2</w:t>
      </w:r>
      <w:r>
        <w:t>.</w:t>
      </w:r>
      <w:r>
        <w:rPr>
          <w:sz w:val="19"/>
        </w:rPr>
        <w:t xml:space="preserve"> En conclusion, une personne faisant le plein de 100 % de biogaz dans l’une des 150 stations-service GNC de Suisse opte pour un mode de déplacement quasiment climatiquement neutre. </w:t>
      </w:r>
    </w:p>
    <w:p w14:paraId="388B8EC8" w14:textId="77777777" w:rsidR="00705DBF" w:rsidRPr="00705DBF" w:rsidRDefault="00705DBF" w:rsidP="00705DBF">
      <w:pPr>
        <w:spacing w:line="240" w:lineRule="auto"/>
        <w:rPr>
          <w:sz w:val="19"/>
          <w:szCs w:val="19"/>
        </w:rPr>
      </w:pPr>
    </w:p>
    <w:p w14:paraId="19AB093D" w14:textId="6B204BF3" w:rsidR="00CF012F" w:rsidRDefault="00705DBF" w:rsidP="00705DBF">
      <w:pPr>
        <w:spacing w:line="240" w:lineRule="auto"/>
        <w:rPr>
          <w:sz w:val="19"/>
          <w:szCs w:val="19"/>
        </w:rPr>
      </w:pPr>
      <w:r>
        <w:rPr>
          <w:sz w:val="19"/>
        </w:rPr>
        <w:lastRenderedPageBreak/>
        <w:t>Indépendamment de l’entraînement et du type d’acquisition visés par le client, le garagiste de l’UPSA est là pour le conseiller. Ce prestataire de mobilité compétent trouvera une solution répondant aux différentes exigences en présence.</w:t>
      </w:r>
      <w:r>
        <w:rPr>
          <w:sz w:val="19"/>
        </w:rPr>
        <w:br/>
      </w:r>
    </w:p>
    <w:p w14:paraId="3DE091C1" w14:textId="66A9D493" w:rsidR="00F7612B" w:rsidRDefault="00F7612B" w:rsidP="00F7612B">
      <w:pPr>
        <w:spacing w:line="240" w:lineRule="auto"/>
        <w:rPr>
          <w:sz w:val="19"/>
          <w:szCs w:val="19"/>
        </w:rPr>
      </w:pPr>
      <w:r>
        <w:rPr>
          <w:sz w:val="19"/>
        </w:rPr>
        <w:t xml:space="preserve">Légende de l’image : </w:t>
      </w:r>
      <w:proofErr w:type="spellStart"/>
      <w:r>
        <w:rPr>
          <w:sz w:val="19"/>
        </w:rPr>
        <w:t>dasfadsfd</w:t>
      </w:r>
      <w:proofErr w:type="spellEnd"/>
    </w:p>
    <w:p w14:paraId="399A3B41" w14:textId="7382CCD9" w:rsidR="00344164" w:rsidRDefault="008276BF" w:rsidP="00344164">
      <w:pPr>
        <w:spacing w:line="240" w:lineRule="auto"/>
      </w:pPr>
      <w:r>
        <w:rPr>
          <w:sz w:val="19"/>
        </w:rPr>
        <w:t>Source : lors d’un entretien de conseil, les garagistes de l’UPSA clarifient les avantages et les inconvénients des différents entraînements. Photo : Médias de l’UPSA</w:t>
      </w:r>
    </w:p>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2" w:name="OLE_LINK1"/>
      <w:bookmarkStart w:id="3" w:name="OLE_LINK2"/>
      <w:r>
        <w:rPr>
          <w:b/>
          <w:sz w:val="16"/>
        </w:rPr>
        <w:t>De plus amples informations</w:t>
      </w:r>
      <w:r>
        <w:rPr>
          <w:sz w:val="16"/>
        </w:rPr>
        <w:t xml:space="preserve"> sont disponibles auprès de Markus Peter, Technique &amp; Environnement UPSA, téléphone 031 307 15 29, e-mail </w:t>
      </w:r>
      <w:hyperlink r:id="rId7" w:history="1">
        <w:r>
          <w:rPr>
            <w:rStyle w:val="Hyperlink"/>
            <w:sz w:val="16"/>
          </w:rPr>
          <w:t>markus.peter@agvs-upsa.ch</w:t>
        </w:r>
      </w:hyperlink>
      <w:r>
        <w:t xml:space="preserve">  </w:t>
      </w:r>
      <w:r>
        <w:rPr>
          <w:b/>
          <w:bCs/>
        </w:rPr>
        <w:t>Coordination :</w:t>
      </w:r>
      <w:r>
        <w:rPr>
          <w:sz w:val="16"/>
        </w:rPr>
        <w:t xml:space="preserve"> Serina Danz, Communication &amp; médias UPSA, tél. 031 307 15 43, </w:t>
      </w:r>
      <w:r>
        <w:rPr>
          <w:sz w:val="16"/>
        </w:rPr>
        <w:br/>
        <w:t>courriel serina.danz@agvs-upsa.ch.</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sz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Pr>
          <w:b/>
          <w:noProof/>
          <w:sz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0" w:history="1">
        <w:r>
          <w:rPr>
            <w:rStyle w:val="Hyperlink"/>
            <w:b/>
            <w:color w:val="auto"/>
            <w:sz w:val="16"/>
            <w:u w:val="none"/>
          </w:rPr>
          <w:t>www.agvs-upsa.ch</w:t>
        </w:r>
      </w:hyperlink>
      <w:r>
        <w:rPr>
          <w:b/>
          <w:sz w:val="16"/>
        </w:rPr>
        <w:t>, dans la rubrique « Communiqués de presse » située en bas de page.</w:t>
      </w:r>
    </w:p>
    <w:p w14:paraId="59A971F0" w14:textId="77777777" w:rsidR="00152FE2" w:rsidRPr="00D444DE" w:rsidRDefault="00D444DE" w:rsidP="00D444DE">
      <w:pPr>
        <w:tabs>
          <w:tab w:val="left" w:pos="426"/>
        </w:tabs>
        <w:spacing w:line="240" w:lineRule="auto"/>
        <w:rPr>
          <w:b/>
          <w:bCs/>
          <w:sz w:val="16"/>
          <w:szCs w:val="16"/>
        </w:rPr>
      </w:pPr>
      <w:r>
        <w:rPr>
          <w:b/>
          <w:noProof/>
          <w:sz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5484F567" w14:textId="77777777" w:rsidR="00152FE2" w:rsidRPr="00044A02" w:rsidRDefault="00C03089" w:rsidP="00344164">
      <w:pPr>
        <w:spacing w:line="240" w:lineRule="auto"/>
        <w:rPr>
          <w:b/>
          <w:bCs/>
          <w:sz w:val="16"/>
          <w:szCs w:val="16"/>
        </w:rPr>
      </w:pPr>
      <w:r>
        <w:rPr>
          <w:b/>
          <w:noProof/>
          <w:sz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793C3" w14:textId="77777777" w:rsidR="00ED3E75" w:rsidRDefault="00ED3E75">
      <w:r>
        <w:separator/>
      </w:r>
    </w:p>
  </w:endnote>
  <w:endnote w:type="continuationSeparator" w:id="0">
    <w:p w14:paraId="4BBECF6C" w14:textId="77777777" w:rsidR="00ED3E75" w:rsidRDefault="00ED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43A8630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215793">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215793">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3152" w14:textId="77777777" w:rsidR="00ED3E75" w:rsidRDefault="00ED3E75">
      <w:r>
        <w:separator/>
      </w:r>
    </w:p>
  </w:footnote>
  <w:footnote w:type="continuationSeparator" w:id="0">
    <w:p w14:paraId="2C9D66AC" w14:textId="77777777" w:rsidR="00ED3E75" w:rsidRDefault="00ED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55AB"/>
    <w:rsid w:val="000831F2"/>
    <w:rsid w:val="00093CF1"/>
    <w:rsid w:val="00096AB7"/>
    <w:rsid w:val="000B0350"/>
    <w:rsid w:val="000B4AD6"/>
    <w:rsid w:val="000C1713"/>
    <w:rsid w:val="000D63D8"/>
    <w:rsid w:val="000D7C7A"/>
    <w:rsid w:val="000E039C"/>
    <w:rsid w:val="001048A0"/>
    <w:rsid w:val="001274AF"/>
    <w:rsid w:val="00132911"/>
    <w:rsid w:val="001352D9"/>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15793"/>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2134"/>
    <w:rsid w:val="00367C41"/>
    <w:rsid w:val="0037316A"/>
    <w:rsid w:val="00377910"/>
    <w:rsid w:val="00380BEB"/>
    <w:rsid w:val="00383EAF"/>
    <w:rsid w:val="003842EA"/>
    <w:rsid w:val="0038641B"/>
    <w:rsid w:val="00391446"/>
    <w:rsid w:val="003A582F"/>
    <w:rsid w:val="003A5F7A"/>
    <w:rsid w:val="003B03A0"/>
    <w:rsid w:val="003B5174"/>
    <w:rsid w:val="003D1167"/>
    <w:rsid w:val="003D70CD"/>
    <w:rsid w:val="003F5246"/>
    <w:rsid w:val="0041337B"/>
    <w:rsid w:val="00422E1F"/>
    <w:rsid w:val="00425F5E"/>
    <w:rsid w:val="004326B2"/>
    <w:rsid w:val="00434E3F"/>
    <w:rsid w:val="00436A6F"/>
    <w:rsid w:val="004417FF"/>
    <w:rsid w:val="00441E37"/>
    <w:rsid w:val="00442CB5"/>
    <w:rsid w:val="00453C25"/>
    <w:rsid w:val="00462D74"/>
    <w:rsid w:val="00483C1E"/>
    <w:rsid w:val="004A5F9F"/>
    <w:rsid w:val="004B5C49"/>
    <w:rsid w:val="004C14B4"/>
    <w:rsid w:val="004D20A3"/>
    <w:rsid w:val="004E02F8"/>
    <w:rsid w:val="00504EBA"/>
    <w:rsid w:val="00511F28"/>
    <w:rsid w:val="00520041"/>
    <w:rsid w:val="00520686"/>
    <w:rsid w:val="00523A48"/>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5F7942"/>
    <w:rsid w:val="006046F2"/>
    <w:rsid w:val="00614B6D"/>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05DBF"/>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12AA"/>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4C9E"/>
    <w:rsid w:val="00C6748B"/>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32D"/>
    <w:rsid w:val="00DD0713"/>
    <w:rsid w:val="00DD3AEE"/>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D3E75"/>
    <w:rsid w:val="00EE11B2"/>
    <w:rsid w:val="00EF11B1"/>
    <w:rsid w:val="00EF247A"/>
    <w:rsid w:val="00F2607D"/>
    <w:rsid w:val="00F26D7B"/>
    <w:rsid w:val="00F54168"/>
    <w:rsid w:val="00F56D71"/>
    <w:rsid w:val="00F67E70"/>
    <w:rsid w:val="00F74E27"/>
    <w:rsid w:val="00F7612B"/>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peter@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F413-CCED-4243-B344-24768263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894</Words>
  <Characters>5183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2020-01-31T07:30:00Z</cp:lastPrinted>
  <dcterms:created xsi:type="dcterms:W3CDTF">2021-04-24T15:16:00Z</dcterms:created>
  <dcterms:modified xsi:type="dcterms:W3CDTF">2021-04-30T08:11:00Z</dcterms:modified>
</cp:coreProperties>
</file>