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 w:rsidRPr="00F34A7D">
        <w:rPr>
          <w:b/>
        </w:rPr>
        <w:t>MEDIENINFORMATION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70CCD5F2" w14:textId="4C4EC225" w:rsidR="00912658" w:rsidRDefault="00CD1766" w:rsidP="00ED6545">
      <w:pPr>
        <w:spacing w:line="240" w:lineRule="auto"/>
        <w:rPr>
          <w:b/>
        </w:rPr>
      </w:pPr>
      <w:r w:rsidRPr="00F34A7D">
        <w:rPr>
          <w:b/>
        </w:rPr>
        <w:t xml:space="preserve">Fachausweisübergabe an </w:t>
      </w:r>
      <w:r w:rsidR="00CA3BD5">
        <w:rPr>
          <w:b/>
        </w:rPr>
        <w:t xml:space="preserve">Automobil-Verkaufsberater/-innen und </w:t>
      </w:r>
      <w:r w:rsidR="00D86F6A">
        <w:rPr>
          <w:b/>
        </w:rPr>
        <w:br/>
      </w:r>
      <w:r w:rsidR="00CA3BD5">
        <w:rPr>
          <w:b/>
        </w:rPr>
        <w:t>Automobil-Kundendienstberater</w:t>
      </w:r>
      <w:r w:rsidR="002B1A5A">
        <w:rPr>
          <w:b/>
        </w:rPr>
        <w:t>/</w:t>
      </w:r>
      <w:r w:rsidR="00CA3BD5">
        <w:rPr>
          <w:b/>
        </w:rPr>
        <w:t>-innen</w:t>
      </w:r>
    </w:p>
    <w:p w14:paraId="40A554C5" w14:textId="77777777" w:rsidR="007202AE" w:rsidRDefault="007202AE" w:rsidP="00AC3E77">
      <w:pPr>
        <w:spacing w:line="240" w:lineRule="auto"/>
        <w:rPr>
          <w:b/>
          <w:sz w:val="32"/>
          <w:szCs w:val="32"/>
        </w:rPr>
      </w:pPr>
    </w:p>
    <w:p w14:paraId="1ABF1EA4" w14:textId="76FD220B" w:rsidR="00D15D3B" w:rsidRPr="00F34A7D" w:rsidRDefault="00182D11" w:rsidP="00AC3E77">
      <w:pPr>
        <w:spacing w:line="240" w:lineRule="auto"/>
        <w:rPr>
          <w:b/>
          <w:i/>
          <w:sz w:val="19"/>
          <w:szCs w:val="19"/>
        </w:rPr>
      </w:pPr>
      <w:r>
        <w:rPr>
          <w:b/>
          <w:sz w:val="32"/>
          <w:szCs w:val="32"/>
        </w:rPr>
        <w:t>Neue Fachkräfte</w:t>
      </w:r>
      <w:r w:rsidR="001B23C1">
        <w:rPr>
          <w:b/>
          <w:sz w:val="32"/>
          <w:szCs w:val="32"/>
        </w:rPr>
        <w:t xml:space="preserve"> für</w:t>
      </w:r>
      <w:r>
        <w:rPr>
          <w:b/>
          <w:sz w:val="32"/>
          <w:szCs w:val="32"/>
        </w:rPr>
        <w:t xml:space="preserve"> </w:t>
      </w:r>
      <w:r w:rsidR="00DE4B1A">
        <w:rPr>
          <w:b/>
          <w:sz w:val="32"/>
          <w:szCs w:val="32"/>
        </w:rPr>
        <w:t>zukunftsgerichtete</w:t>
      </w:r>
      <w:r w:rsidR="001B23C1">
        <w:rPr>
          <w:b/>
          <w:sz w:val="32"/>
          <w:szCs w:val="32"/>
        </w:rPr>
        <w:t xml:space="preserve"> </w:t>
      </w:r>
      <w:r w:rsidR="00DE4B1A">
        <w:rPr>
          <w:b/>
          <w:sz w:val="32"/>
          <w:szCs w:val="32"/>
        </w:rPr>
        <w:t>Kundenb</w:t>
      </w:r>
      <w:r w:rsidR="001B23C1">
        <w:rPr>
          <w:b/>
          <w:sz w:val="32"/>
          <w:szCs w:val="32"/>
        </w:rPr>
        <w:t>eratung</w:t>
      </w:r>
    </w:p>
    <w:p w14:paraId="151883BA" w14:textId="77777777" w:rsidR="007C1F59" w:rsidRPr="00F34A7D" w:rsidRDefault="007C1F59" w:rsidP="00AC3E77">
      <w:pPr>
        <w:spacing w:line="240" w:lineRule="auto"/>
        <w:rPr>
          <w:b/>
          <w:i/>
          <w:sz w:val="19"/>
          <w:szCs w:val="19"/>
        </w:rPr>
      </w:pPr>
    </w:p>
    <w:p w14:paraId="4F694163" w14:textId="0D6877D5" w:rsidR="009039A9" w:rsidRPr="005009F6" w:rsidRDefault="00ED6545" w:rsidP="005009F6">
      <w:pPr>
        <w:spacing w:line="240" w:lineRule="auto"/>
        <w:rPr>
          <w:b/>
          <w:sz w:val="19"/>
          <w:szCs w:val="19"/>
        </w:rPr>
      </w:pPr>
      <w:r w:rsidRPr="00F34A7D">
        <w:rPr>
          <w:b/>
          <w:i/>
          <w:sz w:val="19"/>
          <w:szCs w:val="19"/>
        </w:rPr>
        <w:t>Bern</w:t>
      </w:r>
      <w:r w:rsidR="00831E4A" w:rsidRPr="00F34A7D">
        <w:rPr>
          <w:b/>
          <w:i/>
          <w:sz w:val="19"/>
          <w:szCs w:val="19"/>
        </w:rPr>
        <w:t xml:space="preserve">, </w:t>
      </w:r>
      <w:r w:rsidR="005009F6">
        <w:rPr>
          <w:b/>
          <w:i/>
          <w:sz w:val="19"/>
          <w:szCs w:val="19"/>
        </w:rPr>
        <w:t>4</w:t>
      </w:r>
      <w:r w:rsidR="00831E4A" w:rsidRPr="00F34A7D">
        <w:rPr>
          <w:b/>
          <w:i/>
          <w:sz w:val="19"/>
          <w:szCs w:val="19"/>
        </w:rPr>
        <w:t xml:space="preserve">. </w:t>
      </w:r>
      <w:r w:rsidR="00CA3BD5">
        <w:rPr>
          <w:b/>
          <w:i/>
          <w:sz w:val="19"/>
          <w:szCs w:val="19"/>
        </w:rPr>
        <w:t>November</w:t>
      </w:r>
      <w:r w:rsidRPr="00F34A7D">
        <w:rPr>
          <w:b/>
          <w:i/>
          <w:sz w:val="19"/>
          <w:szCs w:val="19"/>
        </w:rPr>
        <w:t xml:space="preserve"> 202</w:t>
      </w:r>
      <w:r w:rsidR="004F7920" w:rsidRPr="00F34A7D">
        <w:rPr>
          <w:b/>
          <w:i/>
          <w:sz w:val="19"/>
          <w:szCs w:val="19"/>
        </w:rPr>
        <w:t>2</w:t>
      </w:r>
      <w:r w:rsidRPr="00F34A7D">
        <w:rPr>
          <w:b/>
          <w:i/>
          <w:sz w:val="19"/>
          <w:szCs w:val="19"/>
        </w:rPr>
        <w:t xml:space="preserve"> –</w:t>
      </w:r>
      <w:r w:rsidR="005009F6">
        <w:rPr>
          <w:b/>
          <w:sz w:val="19"/>
          <w:szCs w:val="19"/>
        </w:rPr>
        <w:t xml:space="preserve"> </w:t>
      </w:r>
      <w:r w:rsidR="00A314BD" w:rsidRPr="00A314BD">
        <w:rPr>
          <w:bCs/>
          <w:sz w:val="19"/>
          <w:szCs w:val="19"/>
        </w:rPr>
        <w:t>38 junge Berufsleute durften in Oftringen AG ihre Diplome entgegennehmen. Diese frischgebackenen Automobil-Verkaufsberater/-innen (AVB) und Automobil-Kundendienstberater/-innen (KDB) erwarten nach der Diplomfeier herausfordernde, spannende und sich stetig wandelnde Arbeitsbereiche.</w:t>
      </w:r>
      <w:r w:rsidR="00A314BD">
        <w:rPr>
          <w:bCs/>
          <w:sz w:val="19"/>
          <w:szCs w:val="19"/>
        </w:rPr>
        <w:t xml:space="preserve"> Denn positive Begegnungen </w:t>
      </w:r>
      <w:r w:rsidR="00A314BD" w:rsidRPr="00DE4B1A">
        <w:rPr>
          <w:bCs/>
          <w:sz w:val="19"/>
          <w:szCs w:val="19"/>
        </w:rPr>
        <w:t xml:space="preserve">prägen Kundenerlebnisse, </w:t>
      </w:r>
      <w:r w:rsidR="00A314BD">
        <w:rPr>
          <w:bCs/>
          <w:sz w:val="19"/>
          <w:szCs w:val="19"/>
        </w:rPr>
        <w:t>bleiben</w:t>
      </w:r>
      <w:r w:rsidR="00A314BD" w:rsidRPr="00DE4B1A">
        <w:rPr>
          <w:bCs/>
          <w:sz w:val="19"/>
          <w:szCs w:val="19"/>
        </w:rPr>
        <w:t xml:space="preserve"> im Gedächtnis</w:t>
      </w:r>
      <w:r w:rsidR="00A314BD">
        <w:rPr>
          <w:bCs/>
          <w:sz w:val="19"/>
          <w:szCs w:val="19"/>
        </w:rPr>
        <w:t xml:space="preserve"> und führen letztlich zu einer noch nachhaltigeren Kundebindung</w:t>
      </w:r>
      <w:r w:rsidR="00A314BD" w:rsidRPr="00DE4B1A">
        <w:rPr>
          <w:bCs/>
          <w:sz w:val="19"/>
          <w:szCs w:val="19"/>
        </w:rPr>
        <w:t>.</w:t>
      </w:r>
      <w:r w:rsidR="00A314BD">
        <w:rPr>
          <w:bCs/>
          <w:sz w:val="19"/>
          <w:szCs w:val="19"/>
        </w:rPr>
        <w:t xml:space="preserve"> Solche positiven Begegnungen gestalten nun 38 junge Fachkräfte nach ihrer Ausbildung</w:t>
      </w:r>
      <w:r w:rsidR="00A314BD" w:rsidRPr="00DE4B1A">
        <w:rPr>
          <w:bCs/>
          <w:sz w:val="19"/>
          <w:szCs w:val="19"/>
        </w:rPr>
        <w:t xml:space="preserve"> aktiv mit </w:t>
      </w:r>
      <w:r w:rsidR="00A314BD">
        <w:rPr>
          <w:bCs/>
          <w:sz w:val="19"/>
          <w:szCs w:val="19"/>
        </w:rPr>
        <w:t>– ein wichtiges Gut im modernen Dienstleistungsmarkt.</w:t>
      </w:r>
      <w:r w:rsidR="00A314BD" w:rsidRPr="00A314BD">
        <w:rPr>
          <w:bCs/>
          <w:sz w:val="19"/>
          <w:szCs w:val="19"/>
        </w:rPr>
        <w:t xml:space="preserve"> </w:t>
      </w:r>
      <w:r w:rsidR="00A314BD" w:rsidRPr="005223B9">
        <w:rPr>
          <w:bCs/>
          <w:sz w:val="19"/>
          <w:szCs w:val="19"/>
        </w:rPr>
        <w:t xml:space="preserve">Mit dem Abschluss ihrer Ausbildung </w:t>
      </w:r>
      <w:r w:rsidR="00A314BD">
        <w:rPr>
          <w:bCs/>
          <w:sz w:val="19"/>
          <w:szCs w:val="19"/>
        </w:rPr>
        <w:t xml:space="preserve">zeigten </w:t>
      </w:r>
      <w:r w:rsidR="00A314BD" w:rsidRPr="005223B9">
        <w:rPr>
          <w:bCs/>
          <w:sz w:val="19"/>
          <w:szCs w:val="19"/>
        </w:rPr>
        <w:t xml:space="preserve">die </w:t>
      </w:r>
      <w:r w:rsidR="00A314BD">
        <w:rPr>
          <w:bCs/>
          <w:sz w:val="19"/>
          <w:szCs w:val="19"/>
        </w:rPr>
        <w:t xml:space="preserve">frisch gebackenen </w:t>
      </w:r>
      <w:r w:rsidR="00A314BD" w:rsidRPr="005223B9">
        <w:rPr>
          <w:bCs/>
          <w:sz w:val="19"/>
          <w:szCs w:val="19"/>
        </w:rPr>
        <w:t>Berufsleute grosse Bereitschaft, die einzelnen Unternehmen und die ganze Branche aktiv mitzugestalten, so Charles-Albert Hediger, Mitglied des AGVS-Zentralvorstands.</w:t>
      </w:r>
      <w:r w:rsidR="00F17F70">
        <w:rPr>
          <w:bCs/>
          <w:sz w:val="19"/>
          <w:szCs w:val="19"/>
        </w:rPr>
        <w:t xml:space="preserve"> </w:t>
      </w:r>
      <w:r w:rsidR="00F17F70">
        <w:rPr>
          <w:bCs/>
          <w:sz w:val="19"/>
          <w:szCs w:val="19"/>
        </w:rPr>
        <w:br/>
      </w:r>
      <w:r w:rsidR="00F17F70" w:rsidRPr="006F4C77">
        <w:rPr>
          <w:bCs/>
          <w:i/>
          <w:sz w:val="19"/>
          <w:szCs w:val="19"/>
        </w:rPr>
        <w:t>Fotos: AGVS-Medien</w:t>
      </w:r>
    </w:p>
    <w:p w14:paraId="3DDC281F" w14:textId="77777777" w:rsidR="00F26852" w:rsidRDefault="00F26852" w:rsidP="00F26852">
      <w:pPr>
        <w:spacing w:after="160" w:line="259" w:lineRule="auto"/>
        <w:rPr>
          <w:bCs/>
          <w:sz w:val="19"/>
          <w:szCs w:val="19"/>
        </w:rPr>
      </w:pPr>
      <w:bookmarkStart w:id="1" w:name="_Hlk118446110"/>
    </w:p>
    <w:p w14:paraId="5B5ADED3" w14:textId="649BB3CF" w:rsidR="00913EE9" w:rsidRPr="006F4C77" w:rsidRDefault="00913EE9" w:rsidP="006F4C77">
      <w:pPr>
        <w:spacing w:after="160" w:line="259" w:lineRule="auto"/>
        <w:rPr>
          <w:bCs/>
          <w:sz w:val="18"/>
          <w:szCs w:val="18"/>
        </w:rPr>
      </w:pPr>
      <w:r w:rsidRPr="00F26852">
        <w:rPr>
          <w:rFonts w:cs="Arial"/>
          <w:b/>
          <w:bCs/>
          <w:sz w:val="18"/>
          <w:szCs w:val="18"/>
          <w:u w:val="single"/>
        </w:rPr>
        <w:t>Diplomanden: Automobil-</w:t>
      </w:r>
      <w:r w:rsidR="006F4C77">
        <w:rPr>
          <w:rFonts w:cs="Arial"/>
          <w:b/>
          <w:bCs/>
          <w:sz w:val="18"/>
          <w:szCs w:val="18"/>
          <w:u w:val="single"/>
        </w:rPr>
        <w:t>Verkaufsberater</w:t>
      </w:r>
      <w:r w:rsidRPr="00F26852">
        <w:rPr>
          <w:rFonts w:cs="Arial"/>
          <w:b/>
          <w:bCs/>
          <w:sz w:val="18"/>
          <w:szCs w:val="18"/>
          <w:u w:val="single"/>
        </w:rPr>
        <w:t>/-in mit eidg. Fachausweis</w:t>
      </w:r>
    </w:p>
    <w:tbl>
      <w:tblPr>
        <w:tblW w:w="11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850"/>
        <w:gridCol w:w="1559"/>
        <w:gridCol w:w="4784"/>
      </w:tblGrid>
      <w:tr w:rsidR="00F26852" w:rsidRPr="00F26852" w14:paraId="659620A2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6720" w14:textId="4782313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0945" w14:textId="76B3798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Holzer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352" w14:textId="4719A7B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9FF5" w14:textId="3F6B024D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233" w14:textId="5D40CED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Eiken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B136" w14:textId="5931055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F26852" w:rsidRPr="00F26852" w14:paraId="58433103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D3A6" w14:textId="60FD9CA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5740" w14:textId="41CF128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Kezic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2B30" w14:textId="7A6ED52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8A82" w14:textId="1F40A11E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E4C" w14:textId="620AB1E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Zeiningen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47FA" w14:textId="4F3EAC9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F26852" w:rsidRPr="00F26852" w14:paraId="42EE1C5B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2F36" w14:textId="3D6C470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C67" w14:textId="47CB835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Tetaj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17B0" w14:textId="51354FB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Aldon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A6D6" w14:textId="05322F19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28CD" w14:textId="14B3FE8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Frick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F7C5" w14:textId="737F2B8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F26852" w:rsidRPr="00F26852" w14:paraId="4D35FFF0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9617" w14:textId="7D84D5C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D1B1" w14:textId="5303A40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Knecht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24E8" w14:textId="2E4C113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9532" w14:textId="64D10A05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2DA" w14:textId="668EAAD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Spreitenbach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06B" w14:textId="75328A5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F26852" w:rsidRPr="00F26852" w14:paraId="053CE263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7693" w14:textId="194E4F8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BDD1" w14:textId="23FF306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Nogdalla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E1A7" w14:textId="08F87F6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9EB5" w14:textId="6E13F7F7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53D5" w14:textId="5D48A36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D032" w14:textId="1C17A04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3F6FDB41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9BD" w14:textId="433D87E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CDC" w14:textId="6A3F5D1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Pfister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C69" w14:textId="71BF503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Gaetan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05D8" w14:textId="2ADF46BE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DFF3" w14:textId="52AF6E9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4C2" w14:textId="56AB67D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7AED81D8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324B" w14:textId="3AAFDCC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2D62" w14:textId="5A5E1BC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Flückiger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BCAD" w14:textId="47476BE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1BE6" w14:textId="1DD0C21A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4BB4" w14:textId="2F98BA8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Reigoldswil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9AF" w14:textId="193ABA8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BL</w:t>
            </w:r>
          </w:p>
        </w:tc>
      </w:tr>
      <w:tr w:rsidR="00F26852" w:rsidRPr="00F26852" w14:paraId="49F3F17C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44AB" w14:textId="6436905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F7B6" w14:textId="2586020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E5AC" w14:textId="6DCAE4D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Dincer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C82E" w14:textId="663050A6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7E9A" w14:textId="2B4A3D9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Oberdorf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B761" w14:textId="33AC3AD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BL</w:t>
            </w:r>
          </w:p>
        </w:tc>
      </w:tr>
      <w:tr w:rsidR="00F26852" w:rsidRPr="00F26852" w14:paraId="5B5591EA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F572" w14:textId="294FF60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D043" w14:textId="00BB006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Bühler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5682" w14:textId="3ED4301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D9A" w14:textId="1513FDF7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EE4A" w14:textId="72273C2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Dagmersellen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6034" w14:textId="6F80C18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F26852" w:rsidRPr="00F26852" w14:paraId="2DD17F95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B4D7" w14:textId="0B9403E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9F75" w14:textId="1517290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Strüby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0F03" w14:textId="6535655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Mathias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92F" w14:textId="7D99CAFC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938D" w14:textId="64BE594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Gersau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9E5" w14:textId="0B0DA01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F26852" w:rsidRPr="00F26852" w14:paraId="4C441899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55A" w14:textId="60805BA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FD0" w14:textId="2B20DE5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Blaser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1A8A" w14:textId="2E0E79F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Yannick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0103" w14:textId="74A59F24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CAF8" w14:textId="28B2A99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Zürich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819" w14:textId="3259E5F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F26852" w:rsidRPr="00F26852" w14:paraId="07C75FD7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8689" w14:textId="341E772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379F" w14:textId="6167BAD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Kryeziu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A05C" w14:textId="0EC580B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Albin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BBD8" w14:textId="573ADCCD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FD1" w14:textId="0AE1CAB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Zürich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604D" w14:textId="55B9051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F26852" w:rsidRPr="00F26852" w14:paraId="5C1C8EB5" w14:textId="77777777" w:rsidTr="00C61B6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63DF" w14:textId="53D795A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0E4B" w14:textId="4B34C1F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Radelfinger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A80" w14:textId="72B7183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Jonas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FF84" w14:textId="689A812C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B94" w14:textId="4A8B0CE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Männedorf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154" w14:textId="2BC9B7C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0211CB" w:rsidRPr="00F26852" w14:paraId="72CB0940" w14:textId="77777777" w:rsidTr="00FA670B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2A0" w14:textId="77777777" w:rsidR="000211CB" w:rsidRPr="00F26852" w:rsidRDefault="000211CB" w:rsidP="000211C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B0B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372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D13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1AA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6B3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1CB" w:rsidRPr="00F26852" w14:paraId="483331E8" w14:textId="77777777" w:rsidTr="000211CB">
        <w:trPr>
          <w:trHeight w:val="285"/>
        </w:trPr>
        <w:tc>
          <w:tcPr>
            <w:tcW w:w="11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4B4" w14:textId="77777777" w:rsidR="000211CB" w:rsidRPr="00F26852" w:rsidRDefault="000211CB" w:rsidP="000211CB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F26852">
              <w:rPr>
                <w:rFonts w:cs="Arial"/>
                <w:b/>
                <w:bCs/>
                <w:sz w:val="18"/>
                <w:szCs w:val="18"/>
                <w:u w:val="single"/>
              </w:rPr>
              <w:t>Diplomanden: Automobil-Kundendienstberater/-in mit eidg. Fachausweis</w:t>
            </w:r>
          </w:p>
          <w:p w14:paraId="6AEE0498" w14:textId="77777777" w:rsidR="000211CB" w:rsidRPr="00F26852" w:rsidRDefault="000211CB" w:rsidP="000211C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6852" w:rsidRPr="00F26852" w14:paraId="67F546C4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6054" w14:textId="78A4E07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688F" w14:textId="38F464D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Rotzler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B1C" w14:textId="5512F7D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Jan Pascal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DC0" w14:textId="51694CE1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EAA8" w14:textId="44CED0B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Magden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E295" w14:textId="75DCEDB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AG</w:t>
            </w:r>
          </w:p>
        </w:tc>
      </w:tr>
      <w:tr w:rsidR="00F26852" w:rsidRPr="00F26852" w14:paraId="3639C4BC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05CB" w14:textId="379956C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EAD3" w14:textId="10A4137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Hawnu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995B0" w14:textId="018AEAD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Pubest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76A6" w14:textId="4960C9B8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A5DA" w14:textId="212782D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Kirchberg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9D98" w14:textId="03D3661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1549D97C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C8D6" w14:textId="0F5933B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8858" w14:textId="73E9490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Moser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6033" w14:textId="512E08D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6244" w14:textId="780F68F3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719" w14:textId="0CB8358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Vechigen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8CFE" w14:textId="0AC4DF7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597EDD7C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26D0" w14:textId="19D7ED7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DF51" w14:textId="1514149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387" w14:textId="7EC3FF8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85D" w14:textId="42B72620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4DA" w14:textId="03E2F6C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Laupen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1A76" w14:textId="520B893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684450E3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B5DC" w14:textId="405B066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B4A0" w14:textId="7E27486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Stähli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5A21" w14:textId="6D3B36D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Sarah Dina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9581" w14:textId="5A193E95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56D1" w14:textId="5577FDA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Lyssach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91C8" w14:textId="064A69A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7801646E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0D41" w14:textId="38BE939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2E0F" w14:textId="511765A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Tanner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DF2C" w14:textId="39DCAB8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Andreas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8037" w14:textId="4C9DD76B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80BE" w14:textId="59E03E0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Burgdorf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CCCB" w14:textId="386BA6B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</w:t>
            </w:r>
          </w:p>
        </w:tc>
      </w:tr>
      <w:tr w:rsidR="00F26852" w:rsidRPr="00F26852" w14:paraId="147E23CB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C43F" w14:textId="7BD9CC5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17E" w14:textId="7969DBC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Aziz Aula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3B3C" w14:textId="507ED62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Milad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4C2F" w14:textId="3D3E9BB4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8865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352" w14:textId="54C3CB1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Bilten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5C4" w14:textId="1C99922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GL</w:t>
            </w:r>
          </w:p>
        </w:tc>
      </w:tr>
      <w:tr w:rsidR="00F26852" w:rsidRPr="00F26852" w14:paraId="0226FEE4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014" w14:textId="24C2852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BFD" w14:textId="01D7F06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Müller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61E3" w14:textId="2E2413D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Pascal Alessandro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3E86" w14:textId="1D5D175A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543A" w14:textId="4C0A57A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Knutwil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FBBA" w14:textId="46D2104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F26852" w:rsidRPr="00F26852" w14:paraId="7AECA02C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2F05" w14:textId="3D0F2A4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A384" w14:textId="6C1C2DD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Stojkovski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E17C" w14:textId="1BD1217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Jovan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267D" w14:textId="04A46BBD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7E73" w14:textId="6F7B044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Luzern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D121" w14:textId="54F98B0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LU</w:t>
            </w:r>
          </w:p>
        </w:tc>
      </w:tr>
      <w:tr w:rsidR="00F26852" w:rsidRPr="00F26852" w14:paraId="2BA5CA14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B93C" w14:textId="520E6C2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195F" w14:textId="486A70B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Ambrosano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4E7" w14:textId="70E5360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Francesco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2145" w14:textId="3B90DE64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9445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1540" w14:textId="7022749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Rebstein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3980" w14:textId="49D9682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F26852" w:rsidRPr="00F26852" w14:paraId="7525CD5C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2E4C" w14:textId="26CAA58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C299" w14:textId="0005404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Bossard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28C4" w14:textId="2450011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E874" w14:textId="2AFE758F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90B7" w14:textId="7188564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Niederbüren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AFE0" w14:textId="63F610E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F26852" w:rsidRPr="00F26852" w14:paraId="7EE11CDD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29F9" w14:textId="2807510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107F" w14:textId="6C8B87F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Giger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A637" w14:textId="4CE8FDA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9CD" w14:textId="506A3324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EB55" w14:textId="4129D63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Schänis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5A5" w14:textId="512C795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SG</w:t>
            </w:r>
          </w:p>
        </w:tc>
      </w:tr>
      <w:tr w:rsidR="00F26852" w:rsidRPr="00F26852" w14:paraId="248688C8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494B" w14:textId="3BA7088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713B" w14:textId="706E5A95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Anliker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93A3" w14:textId="19EE031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Remo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BEB0" w14:textId="2F7B8304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4420" w14:textId="1E5403B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Bettlach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3F77" w14:textId="2FB7E76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SO</w:t>
            </w:r>
          </w:p>
        </w:tc>
      </w:tr>
      <w:tr w:rsidR="00F26852" w:rsidRPr="00F26852" w14:paraId="6F75F46A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1E3F" w14:textId="18F7DA3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3C90" w14:textId="4443B3C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Häusermann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CCF" w14:textId="7234DC5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Désirée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BA3" w14:textId="14852B87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FF45" w14:textId="5B3A7EA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Schwyz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D8DA" w14:textId="0FB01E4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F26852" w:rsidRPr="00F26852" w14:paraId="6D8F4AF7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82D1" w14:textId="26C6254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C96" w14:textId="1D1ADB7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Länzlinger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0D54" w14:textId="7289E21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2C81" w14:textId="49386280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144C" w14:textId="7482BEA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Rothenthurm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93BB" w14:textId="4FA732C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F26852" w:rsidRPr="00F26852" w14:paraId="295B0F90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E45C" w14:textId="204EE02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765C" w14:textId="11808D1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Schelbert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9890" w14:textId="2E1A085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B0F1" w14:textId="4110A572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E538" w14:textId="639A750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Muotathal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5CC1" w14:textId="0DBDFE0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SZ</w:t>
            </w:r>
          </w:p>
        </w:tc>
      </w:tr>
      <w:tr w:rsidR="00F26852" w:rsidRPr="00F26852" w14:paraId="5F06D6EB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AAD" w14:textId="15BB5B3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0DA3" w14:textId="32D7C12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Kündig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084D" w14:textId="471390E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Maria Esperanza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1C9B" w14:textId="54433B26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4DB6" w14:textId="052C577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Märstetten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0C11" w14:textId="343274A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TG</w:t>
            </w:r>
          </w:p>
        </w:tc>
      </w:tr>
      <w:tr w:rsidR="00F26852" w:rsidRPr="00F26852" w14:paraId="28E899CB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E132" w14:textId="4A92452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FD3F" w14:textId="452DEC4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Schwegler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6209" w14:textId="1CCA4F7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865" w14:textId="0DDB70CC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FC37" w14:textId="5864F50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Märstetten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9570" w14:textId="600C1B2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TG</w:t>
            </w:r>
          </w:p>
        </w:tc>
      </w:tr>
      <w:tr w:rsidR="00F26852" w:rsidRPr="00F26852" w14:paraId="1AC3A250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CBBF" w14:textId="4289879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57C5" w14:textId="2ABB686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Beljan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044C" w14:textId="267395E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Mihael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862" w14:textId="4ECC538C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8A19" w14:textId="21C8C64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Erstfeld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BA66" w14:textId="40C0932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UR</w:t>
            </w:r>
          </w:p>
        </w:tc>
      </w:tr>
      <w:tr w:rsidR="00F26852" w:rsidRPr="00F26852" w14:paraId="59212A43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A6EF" w14:textId="167A9BFE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10CA" w14:textId="56C0501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Gisler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F9C9" w14:textId="26C0948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Niclas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7D25" w14:textId="5C0C5637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6467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C836" w14:textId="229A7AD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Schattdorf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C4F" w14:textId="79D98421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UR</w:t>
            </w:r>
          </w:p>
        </w:tc>
      </w:tr>
      <w:tr w:rsidR="00F26852" w:rsidRPr="00F26852" w14:paraId="16251B54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2295" w14:textId="55CAD9B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Frau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8A98" w14:textId="5364B6EB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Perren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23D" w14:textId="3BCCE47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0C4" w14:textId="2DBC9AE2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A8B" w14:textId="73BEDAE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Brig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A14" w14:textId="643C28D4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VS</w:t>
            </w:r>
          </w:p>
        </w:tc>
      </w:tr>
      <w:tr w:rsidR="00F26852" w:rsidRPr="00F26852" w14:paraId="045F50B7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14F2" w14:textId="1129D3B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60EE" w14:textId="65DA43D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Marques Gorjao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C35" w14:textId="5239F8D3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Joao Cristhian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3D9D" w14:textId="7876861D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7A24" w14:textId="107E154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Rorbas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8334" w14:textId="18AB7267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F26852" w:rsidRPr="00F26852" w14:paraId="711A551A" w14:textId="77777777" w:rsidTr="00781E5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2265" w14:textId="2298AF16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Herr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5315" w14:textId="48F01CCF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Rajadurai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3706" w14:textId="6CC8739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Thanusan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DEB0" w14:textId="74FECFE2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8953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C302" w14:textId="58B7F488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Dietikon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D8A1" w14:textId="6AC7AB2C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  <w:r w:rsidRPr="00F26852">
              <w:rPr>
                <w:rFonts w:cs="Arial"/>
                <w:bCs/>
                <w:color w:val="000000"/>
                <w:sz w:val="18"/>
                <w:szCs w:val="18"/>
              </w:rPr>
              <w:t>ZH</w:t>
            </w:r>
          </w:p>
        </w:tc>
      </w:tr>
      <w:tr w:rsidR="00F26852" w:rsidRPr="00F26852" w14:paraId="0E820A4A" w14:textId="77777777" w:rsidTr="00A469B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C4A1" w14:textId="62E7F08A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0379" w14:textId="05387B89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E829" w14:textId="48872F90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3575E" w14:textId="203FBECB" w:rsidR="00F26852" w:rsidRPr="00F26852" w:rsidRDefault="00F26852" w:rsidP="00F2685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B8F42" w14:textId="59655A22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B637" w14:textId="606337ED" w:rsidR="00F26852" w:rsidRPr="00F26852" w:rsidRDefault="00F26852" w:rsidP="00F2685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bookmarkEnd w:id="1"/>
    </w:tbl>
    <w:p w14:paraId="665D892A" w14:textId="1BD68938" w:rsidR="00913EE9" w:rsidRDefault="00913EE9" w:rsidP="00F91896">
      <w:pPr>
        <w:spacing w:line="240" w:lineRule="auto"/>
        <w:rPr>
          <w:bCs/>
          <w:sz w:val="18"/>
          <w:szCs w:val="18"/>
        </w:rPr>
      </w:pPr>
    </w:p>
    <w:p w14:paraId="105AE3DE" w14:textId="09E480D0" w:rsidR="000211CB" w:rsidRDefault="000211CB" w:rsidP="00F91896">
      <w:pPr>
        <w:spacing w:line="240" w:lineRule="auto"/>
        <w:rPr>
          <w:bCs/>
          <w:sz w:val="18"/>
          <w:szCs w:val="18"/>
        </w:rPr>
      </w:pPr>
    </w:p>
    <w:p w14:paraId="1E2E51C7" w14:textId="77777777" w:rsidR="000211CB" w:rsidRPr="00913EE9" w:rsidRDefault="000211CB" w:rsidP="00F91896">
      <w:pPr>
        <w:spacing w:line="240" w:lineRule="auto"/>
        <w:rPr>
          <w:bCs/>
          <w:sz w:val="18"/>
          <w:szCs w:val="18"/>
        </w:rPr>
      </w:pPr>
    </w:p>
    <w:p w14:paraId="17E2B8DC" w14:textId="77777777" w:rsidR="00900024" w:rsidRDefault="00900024" w:rsidP="00900024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Thomas Jäggi, Bildung AGVS, Telefon </w:t>
      </w:r>
      <w:r>
        <w:rPr>
          <w:rFonts w:cs="Arial"/>
          <w:bCs/>
          <w:sz w:val="16"/>
          <w:szCs w:val="16"/>
        </w:rPr>
        <w:t xml:space="preserve">031 307 15 39, </w:t>
      </w:r>
      <w:r>
        <w:rPr>
          <w:sz w:val="16"/>
          <w:szCs w:val="16"/>
        </w:rPr>
        <w:t xml:space="preserve">E-Mail </w:t>
      </w:r>
      <w:hyperlink r:id="rId7" w:history="1">
        <w:r w:rsidRPr="003B3ED2">
          <w:rPr>
            <w:rStyle w:val="Hyperlink"/>
            <w:sz w:val="16"/>
            <w:szCs w:val="16"/>
          </w:rPr>
          <w:t>thomas.jaeggi@agvs-upsa.ch.ch</w:t>
        </w:r>
      </w:hyperlink>
      <w:r w:rsidRPr="008C0364">
        <w:rPr>
          <w:rStyle w:val="Hyperlink"/>
          <w:color w:val="000000" w:themeColor="text1"/>
          <w:sz w:val="16"/>
          <w:szCs w:val="16"/>
          <w:u w:val="none"/>
        </w:rPr>
        <w:t xml:space="preserve"> </w:t>
      </w:r>
      <w:r>
        <w:rPr>
          <w:b/>
          <w:sz w:val="16"/>
          <w:szCs w:val="16"/>
        </w:rPr>
        <w:t>Koordination:</w:t>
      </w:r>
      <w:r>
        <w:rPr>
          <w:sz w:val="16"/>
          <w:szCs w:val="16"/>
        </w:rPr>
        <w:t xml:space="preserve"> Monique Baldinger, Kommunikation &amp; Medien AGVS, Telefon 031 307 15 26, E-Mail </w:t>
      </w:r>
      <w:r>
        <w:rPr>
          <w:sz w:val="16"/>
          <w:szCs w:val="16"/>
          <w:u w:val="single"/>
        </w:rPr>
        <w:t>Monique.Baldinger@agvs-upsa.ch</w:t>
      </w:r>
    </w:p>
    <w:p w14:paraId="0BFBE12B" w14:textId="00E419B6" w:rsidR="00ED6545" w:rsidRPr="00F34A7D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 w:rsidRPr="00F34A7D">
        <w:rPr>
          <w:sz w:val="16"/>
          <w:szCs w:val="16"/>
        </w:rPr>
        <w:t>.</w:t>
      </w:r>
    </w:p>
    <w:p w14:paraId="58F9EF82" w14:textId="77777777" w:rsidR="00ED6545" w:rsidRPr="00F34A7D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F34A7D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F34A7D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6D691EE" w14:textId="77777777" w:rsidR="00ED6545" w:rsidRPr="00F34A7D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F34A7D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0A94263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4BE770F7" w:rsidR="00ED6545" w:rsidRPr="00F34A7D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A7D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www.agvs-upsa.ch</w:t>
        </w:r>
      </w:hyperlink>
      <w:r w:rsidRPr="00F34A7D">
        <w:rPr>
          <w:b/>
          <w:bCs/>
          <w:sz w:val="16"/>
          <w:szCs w:val="16"/>
        </w:rPr>
        <w:t xml:space="preserve"> im Footer «Medien»</w:t>
      </w:r>
    </w:p>
    <w:p w14:paraId="7AF5598F" w14:textId="5A0F164C" w:rsidR="00FC7F1F" w:rsidRPr="00912F3E" w:rsidRDefault="00ED6545" w:rsidP="00815CDA">
      <w:pPr>
        <w:tabs>
          <w:tab w:val="left" w:pos="426"/>
        </w:tabs>
        <w:spacing w:line="240" w:lineRule="auto"/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sz w:val="16"/>
          <w:szCs w:val="16"/>
        </w:rPr>
        <w:tab/>
        <w:t xml:space="preserve">Abonnieren Sie auch den Autoberufe-Newsletter: </w:t>
      </w:r>
      <w:hyperlink r:id="rId12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www.autoberufe.ch/de/Newsletter-Anmeldung</w:t>
        </w:r>
      </w:hyperlink>
    </w:p>
    <w:sectPr w:rsidR="00FC7F1F" w:rsidRPr="00912F3E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77E" w14:textId="77777777" w:rsidR="009B154B" w:rsidRDefault="009B154B">
      <w:pPr>
        <w:spacing w:line="240" w:lineRule="auto"/>
      </w:pPr>
      <w:r>
        <w:separator/>
      </w:r>
    </w:p>
  </w:endnote>
  <w:endnote w:type="continuationSeparator" w:id="0">
    <w:p w14:paraId="4C634267" w14:textId="77777777" w:rsidR="009B154B" w:rsidRDefault="009B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900024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9000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900024" w:rsidP="000635E0">
    <w:pPr>
      <w:pStyle w:val="Logo"/>
    </w:pPr>
  </w:p>
  <w:p w14:paraId="4277B8D1" w14:textId="77777777" w:rsidR="00D55DE8" w:rsidRDefault="00900024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8117" w14:textId="77777777" w:rsidR="009B154B" w:rsidRDefault="009B154B">
      <w:pPr>
        <w:spacing w:line="240" w:lineRule="auto"/>
      </w:pPr>
      <w:r>
        <w:separator/>
      </w:r>
    </w:p>
  </w:footnote>
  <w:footnote w:type="continuationSeparator" w:id="0">
    <w:p w14:paraId="559234C7" w14:textId="77777777" w:rsidR="009B154B" w:rsidRDefault="009B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8139C"/>
    <w:rsid w:val="00182D11"/>
    <w:rsid w:val="00192315"/>
    <w:rsid w:val="001B23C1"/>
    <w:rsid w:val="001F0110"/>
    <w:rsid w:val="00201201"/>
    <w:rsid w:val="002237C9"/>
    <w:rsid w:val="00253567"/>
    <w:rsid w:val="00281D7D"/>
    <w:rsid w:val="00291A30"/>
    <w:rsid w:val="002B1A5A"/>
    <w:rsid w:val="002B7D79"/>
    <w:rsid w:val="003159DC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425BCC"/>
    <w:rsid w:val="004271A5"/>
    <w:rsid w:val="0043115B"/>
    <w:rsid w:val="004622C0"/>
    <w:rsid w:val="004716D1"/>
    <w:rsid w:val="004C7601"/>
    <w:rsid w:val="004E1770"/>
    <w:rsid w:val="004F7920"/>
    <w:rsid w:val="005009F6"/>
    <w:rsid w:val="00504B0D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C64C0"/>
    <w:rsid w:val="006E59CD"/>
    <w:rsid w:val="006E767C"/>
    <w:rsid w:val="006F18BB"/>
    <w:rsid w:val="006F4C77"/>
    <w:rsid w:val="007022C3"/>
    <w:rsid w:val="00720199"/>
    <w:rsid w:val="007201FB"/>
    <w:rsid w:val="007202AE"/>
    <w:rsid w:val="007268A7"/>
    <w:rsid w:val="00727AB4"/>
    <w:rsid w:val="007347A5"/>
    <w:rsid w:val="007451DA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B0406"/>
    <w:rsid w:val="008B65AB"/>
    <w:rsid w:val="008D1EF0"/>
    <w:rsid w:val="008F2F6A"/>
    <w:rsid w:val="00900024"/>
    <w:rsid w:val="0090060A"/>
    <w:rsid w:val="009039A9"/>
    <w:rsid w:val="00912658"/>
    <w:rsid w:val="00912F3E"/>
    <w:rsid w:val="00913EE9"/>
    <w:rsid w:val="00915FCA"/>
    <w:rsid w:val="00975DAE"/>
    <w:rsid w:val="009868B1"/>
    <w:rsid w:val="009B154B"/>
    <w:rsid w:val="009B4D48"/>
    <w:rsid w:val="009F58E4"/>
    <w:rsid w:val="00A314BD"/>
    <w:rsid w:val="00A346A2"/>
    <w:rsid w:val="00A469B0"/>
    <w:rsid w:val="00A56BE2"/>
    <w:rsid w:val="00A73FB8"/>
    <w:rsid w:val="00AA6F8C"/>
    <w:rsid w:val="00AC16BB"/>
    <w:rsid w:val="00AC3E77"/>
    <w:rsid w:val="00AD3D2E"/>
    <w:rsid w:val="00AD611C"/>
    <w:rsid w:val="00B3697E"/>
    <w:rsid w:val="00B53465"/>
    <w:rsid w:val="00B541FB"/>
    <w:rsid w:val="00BC7747"/>
    <w:rsid w:val="00BF4A53"/>
    <w:rsid w:val="00C037FE"/>
    <w:rsid w:val="00C177BC"/>
    <w:rsid w:val="00C5379A"/>
    <w:rsid w:val="00C612A6"/>
    <w:rsid w:val="00CA3BD5"/>
    <w:rsid w:val="00CD1766"/>
    <w:rsid w:val="00CD2499"/>
    <w:rsid w:val="00D15D3B"/>
    <w:rsid w:val="00D27CA5"/>
    <w:rsid w:val="00D4252C"/>
    <w:rsid w:val="00D548CA"/>
    <w:rsid w:val="00D64BAF"/>
    <w:rsid w:val="00D65B6C"/>
    <w:rsid w:val="00D86F6A"/>
    <w:rsid w:val="00DA0768"/>
    <w:rsid w:val="00DE4B1A"/>
    <w:rsid w:val="00E01806"/>
    <w:rsid w:val="00E23B76"/>
    <w:rsid w:val="00E64C9B"/>
    <w:rsid w:val="00E838A6"/>
    <w:rsid w:val="00E868FE"/>
    <w:rsid w:val="00EA7217"/>
    <w:rsid w:val="00ED6545"/>
    <w:rsid w:val="00EF557F"/>
    <w:rsid w:val="00F17F70"/>
    <w:rsid w:val="00F26852"/>
    <w:rsid w:val="00F34A7D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jaeggi@agvs-upsa.ch.ch" TargetMode="External"/><Relationship Id="rId12" Type="http://schemas.openxmlformats.org/officeDocument/2006/relationships/hyperlink" Target="http://www.autoberufe.ch/de/Newsletter-Anmeldu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40</cp:revision>
  <cp:lastPrinted>2022-02-17T08:32:00Z</cp:lastPrinted>
  <dcterms:created xsi:type="dcterms:W3CDTF">2022-06-07T10:18:00Z</dcterms:created>
  <dcterms:modified xsi:type="dcterms:W3CDTF">2022-11-04T09:25:00Z</dcterms:modified>
</cp:coreProperties>
</file>